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526C" w14:textId="2E1220A0" w:rsidR="00850911" w:rsidRPr="00F91026" w:rsidRDefault="00850911" w:rsidP="006A12C5">
      <w:pPr>
        <w:widowControl w:val="0"/>
        <w:spacing w:after="0" w:line="276" w:lineRule="auto"/>
        <w:ind w:right="-1440"/>
        <w:rPr>
          <w:rFonts w:ascii="Calibri" w:eastAsia="Arial" w:hAnsi="Calibri" w:cs="Calibri"/>
          <w:lang w:val="en-US"/>
        </w:rPr>
      </w:pPr>
      <w:r w:rsidRPr="00F91026">
        <w:rPr>
          <w:rFonts w:ascii="Calibri" w:eastAsia="Arial" w:hAnsi="Calibri" w:cs="Calibri"/>
          <w:b/>
          <w:lang w:val="en-US"/>
        </w:rPr>
        <w:t xml:space="preserve">Treasury Committee </w:t>
      </w:r>
      <w:r w:rsidRPr="00F91026">
        <w:rPr>
          <w:rFonts w:ascii="Calibri" w:eastAsia="Arial" w:hAnsi="Calibri" w:cs="Calibri"/>
          <w:lang w:val="en-US"/>
        </w:rPr>
        <w:t>(the “Committee”)</w:t>
      </w:r>
    </w:p>
    <w:p w14:paraId="71A2A54F" w14:textId="77777777" w:rsidR="00894C42" w:rsidRPr="00F91026" w:rsidRDefault="00894C42" w:rsidP="006A12C5">
      <w:pPr>
        <w:widowControl w:val="0"/>
        <w:spacing w:after="0" w:line="276" w:lineRule="auto"/>
        <w:ind w:right="584"/>
        <w:outlineLvl w:val="0"/>
        <w:rPr>
          <w:rFonts w:ascii="Calibri" w:eastAsia="Arial" w:hAnsi="Calibri" w:cs="Calibri"/>
          <w:b/>
          <w:bCs/>
          <w:lang w:val="en-US"/>
        </w:rPr>
      </w:pPr>
    </w:p>
    <w:p w14:paraId="07FF9761" w14:textId="77777777" w:rsidR="00894C42" w:rsidRPr="00F91026" w:rsidRDefault="00894C42" w:rsidP="006A12C5">
      <w:pPr>
        <w:widowControl w:val="0"/>
        <w:spacing w:after="0" w:line="276" w:lineRule="auto"/>
        <w:ind w:right="584"/>
        <w:outlineLvl w:val="0"/>
        <w:rPr>
          <w:rFonts w:ascii="Calibri" w:eastAsia="Arial" w:hAnsi="Calibri" w:cs="Calibri"/>
          <w:b/>
          <w:bCs/>
          <w:lang w:val="en-US"/>
        </w:rPr>
      </w:pPr>
    </w:p>
    <w:p w14:paraId="36E5E043" w14:textId="07ACB745" w:rsidR="00850911" w:rsidRPr="00F91026" w:rsidRDefault="00850911" w:rsidP="006A12C5">
      <w:pPr>
        <w:widowControl w:val="0"/>
        <w:spacing w:after="0" w:line="276" w:lineRule="auto"/>
        <w:ind w:right="584"/>
        <w:outlineLvl w:val="0"/>
        <w:rPr>
          <w:rFonts w:ascii="Calibri" w:eastAsia="Arial" w:hAnsi="Calibri" w:cs="Calibri"/>
          <w:b/>
          <w:bCs/>
          <w:lang w:val="en-US"/>
        </w:rPr>
      </w:pPr>
      <w:r w:rsidRPr="00F91026">
        <w:rPr>
          <w:rFonts w:ascii="Calibri" w:eastAsia="Arial" w:hAnsi="Calibri" w:cs="Calibri"/>
          <w:b/>
          <w:bCs/>
          <w:lang w:val="en-US"/>
        </w:rPr>
        <w:t>Terms of Reference</w:t>
      </w:r>
    </w:p>
    <w:p w14:paraId="223777FE" w14:textId="77777777" w:rsidR="00894C42" w:rsidRPr="00F91026" w:rsidRDefault="00894C42" w:rsidP="006A12C5">
      <w:pPr>
        <w:spacing w:after="0" w:line="276" w:lineRule="auto"/>
        <w:rPr>
          <w:rFonts w:ascii="Calibri" w:hAnsi="Calibri" w:cs="Calibri"/>
          <w:b/>
          <w:bCs/>
        </w:rPr>
      </w:pPr>
    </w:p>
    <w:p w14:paraId="1F165BDF" w14:textId="77777777" w:rsidR="00894C42" w:rsidRPr="00F91026" w:rsidRDefault="00894C42" w:rsidP="006A12C5">
      <w:pPr>
        <w:spacing w:after="0" w:line="276" w:lineRule="auto"/>
        <w:rPr>
          <w:rFonts w:ascii="Calibri" w:hAnsi="Calibri" w:cs="Calibri"/>
          <w:b/>
          <w:bCs/>
        </w:rPr>
      </w:pPr>
    </w:p>
    <w:p w14:paraId="10A64D0E" w14:textId="4D71F55B" w:rsidR="00850911" w:rsidRPr="00F91026" w:rsidRDefault="00850911" w:rsidP="006A12C5">
      <w:pPr>
        <w:pStyle w:val="ListParagraph"/>
        <w:numPr>
          <w:ilvl w:val="0"/>
          <w:numId w:val="23"/>
        </w:numPr>
        <w:spacing w:after="0" w:line="276" w:lineRule="auto"/>
        <w:ind w:hanging="720"/>
        <w:rPr>
          <w:rFonts w:ascii="Calibri" w:hAnsi="Calibri" w:cs="Calibri"/>
        </w:rPr>
      </w:pPr>
      <w:r w:rsidRPr="00F91026">
        <w:rPr>
          <w:rFonts w:ascii="Calibri" w:hAnsi="Calibri" w:cs="Calibri"/>
          <w:b/>
          <w:bCs/>
        </w:rPr>
        <w:t>Purpose</w:t>
      </w:r>
    </w:p>
    <w:p w14:paraId="56E6C1ED" w14:textId="3EDF4BE2" w:rsidR="00850911" w:rsidRPr="00F91026" w:rsidRDefault="00850911" w:rsidP="006A12C5">
      <w:pPr>
        <w:spacing w:after="0" w:line="276" w:lineRule="auto"/>
        <w:rPr>
          <w:rFonts w:ascii="Calibri" w:hAnsi="Calibri" w:cs="Calibri"/>
        </w:rPr>
      </w:pPr>
      <w:r w:rsidRPr="00F91026">
        <w:rPr>
          <w:rFonts w:ascii="Calibri" w:hAnsi="Calibri" w:cs="Calibri"/>
        </w:rPr>
        <w:t>The Treasury Committee is established by the Board to provide oversight, challenge, and assurance in relation to the Society’s treasury activities. It ensures the Society maintains prudent and effective financial risk management, particularly in relation to liquidity, funding, investment, and interest rate risk, consistent with co</w:t>
      </w:r>
      <w:r w:rsidR="0067707A">
        <w:rPr>
          <w:rFonts w:ascii="Calibri" w:hAnsi="Calibri" w:cs="Calibri"/>
        </w:rPr>
        <w:t>-</w:t>
      </w:r>
      <w:r w:rsidRPr="00F91026">
        <w:rPr>
          <w:rFonts w:ascii="Calibri" w:hAnsi="Calibri" w:cs="Calibri"/>
        </w:rPr>
        <w:t>operative values and long-term sustainability.</w:t>
      </w:r>
    </w:p>
    <w:p w14:paraId="2BD93AE4" w14:textId="77777777" w:rsidR="00850911" w:rsidRPr="00F91026" w:rsidRDefault="00850911" w:rsidP="006A12C5">
      <w:pPr>
        <w:widowControl w:val="0"/>
        <w:spacing w:after="0" w:line="276" w:lineRule="auto"/>
        <w:ind w:right="584"/>
        <w:outlineLvl w:val="0"/>
        <w:rPr>
          <w:rFonts w:ascii="Calibri" w:eastAsia="Arial" w:hAnsi="Calibri" w:cs="Calibri"/>
          <w:b/>
          <w:bCs/>
        </w:rPr>
      </w:pPr>
    </w:p>
    <w:p w14:paraId="21153C4F" w14:textId="77777777" w:rsidR="00E42DA1" w:rsidRPr="00F91026" w:rsidRDefault="00E42DA1" w:rsidP="006A12C5">
      <w:pPr>
        <w:widowControl w:val="0"/>
        <w:spacing w:after="0" w:line="276" w:lineRule="auto"/>
        <w:ind w:right="584"/>
        <w:outlineLvl w:val="0"/>
        <w:rPr>
          <w:rFonts w:ascii="Calibri" w:eastAsia="Arial" w:hAnsi="Calibri" w:cs="Calibri"/>
          <w:b/>
          <w:bCs/>
        </w:rPr>
      </w:pPr>
    </w:p>
    <w:p w14:paraId="6D901499" w14:textId="03F7D53B" w:rsidR="00850911" w:rsidRPr="00F91026" w:rsidRDefault="00850911" w:rsidP="006A12C5">
      <w:pPr>
        <w:pStyle w:val="ListParagraph"/>
        <w:widowControl w:val="0"/>
        <w:numPr>
          <w:ilvl w:val="0"/>
          <w:numId w:val="23"/>
        </w:numPr>
        <w:spacing w:after="0" w:line="276" w:lineRule="auto"/>
        <w:ind w:right="584" w:hanging="720"/>
        <w:rPr>
          <w:rFonts w:ascii="Calibri" w:eastAsia="Arial" w:hAnsi="Calibri" w:cs="Calibri"/>
          <w:b/>
          <w:lang w:val="en-US"/>
        </w:rPr>
      </w:pPr>
      <w:r w:rsidRPr="00F91026">
        <w:rPr>
          <w:rFonts w:ascii="Calibri" w:eastAsia="Arial" w:hAnsi="Calibri" w:cs="Calibri"/>
          <w:b/>
          <w:lang w:val="en-US"/>
        </w:rPr>
        <w:t>Constitution and Reporting Lines</w:t>
      </w:r>
    </w:p>
    <w:p w14:paraId="4C5C2D17" w14:textId="050C2B21" w:rsidR="00E42DA1" w:rsidRPr="00F91026" w:rsidRDefault="00850911" w:rsidP="006A12C5">
      <w:pPr>
        <w:widowControl w:val="0"/>
        <w:spacing w:after="0" w:line="276" w:lineRule="auto"/>
        <w:ind w:right="584"/>
        <w:rPr>
          <w:rFonts w:ascii="Calibri" w:eastAsia="Arial" w:hAnsi="Calibri" w:cs="Calibri"/>
          <w:lang w:val="en-US"/>
        </w:rPr>
      </w:pPr>
      <w:r w:rsidRPr="00F91026">
        <w:rPr>
          <w:rFonts w:ascii="Calibri" w:eastAsia="Arial" w:hAnsi="Calibri" w:cs="Calibri"/>
          <w:lang w:val="en-US"/>
        </w:rPr>
        <w:t xml:space="preserve">The Committee was established by a resolution of the Board dated </w:t>
      </w:r>
      <w:r w:rsidR="0067707A">
        <w:rPr>
          <w:rFonts w:ascii="Calibri" w:eastAsia="Arial" w:hAnsi="Calibri" w:cs="Calibri"/>
          <w:lang w:val="en-US"/>
        </w:rPr>
        <w:t>30 June 2025</w:t>
      </w:r>
      <w:r w:rsidRPr="00F91026">
        <w:rPr>
          <w:rFonts w:ascii="Calibri" w:eastAsia="Arial" w:hAnsi="Calibri" w:cs="Calibri"/>
          <w:lang w:val="en-US"/>
        </w:rPr>
        <w:t>. These Terms of Reference were approved by the Board at that time.</w:t>
      </w:r>
    </w:p>
    <w:p w14:paraId="4B7330BC" w14:textId="618527FE" w:rsidR="00850911" w:rsidRPr="00F91026" w:rsidRDefault="00850911" w:rsidP="006A12C5">
      <w:pPr>
        <w:widowControl w:val="0"/>
        <w:spacing w:after="0" w:line="276" w:lineRule="auto"/>
        <w:ind w:right="584"/>
        <w:rPr>
          <w:rFonts w:ascii="Calibri" w:eastAsia="Arial" w:hAnsi="Calibri" w:cs="Calibri"/>
          <w:lang w:val="en-US"/>
        </w:rPr>
      </w:pPr>
      <w:r w:rsidRPr="00F91026">
        <w:rPr>
          <w:rFonts w:ascii="Calibri" w:eastAsia="Arial" w:hAnsi="Calibri" w:cs="Calibri"/>
          <w:lang w:val="en-US"/>
        </w:rPr>
        <w:t xml:space="preserve"> </w:t>
      </w:r>
    </w:p>
    <w:p w14:paraId="177DC8B9" w14:textId="77777777" w:rsidR="007D0317" w:rsidRPr="00F91026" w:rsidRDefault="00850911" w:rsidP="006A12C5">
      <w:pPr>
        <w:pStyle w:val="Title"/>
        <w:spacing w:after="0" w:line="276" w:lineRule="auto"/>
        <w:contextualSpacing w:val="0"/>
        <w:rPr>
          <w:rFonts w:ascii="Calibri" w:eastAsia="Arial" w:hAnsi="Calibri" w:cs="Calibri"/>
          <w:sz w:val="24"/>
          <w:szCs w:val="24"/>
          <w:lang w:val="en-US"/>
        </w:rPr>
      </w:pPr>
      <w:r w:rsidRPr="00F91026">
        <w:rPr>
          <w:rFonts w:ascii="Calibri" w:eastAsia="Arial" w:hAnsi="Calibri" w:cs="Calibri"/>
          <w:sz w:val="24"/>
          <w:szCs w:val="24"/>
          <w:lang w:val="en-US"/>
        </w:rPr>
        <w:t>The Committee is a committee of the Board. It operates within the strategic policy direction established by the Board and is directly accountable to the Board.</w:t>
      </w:r>
    </w:p>
    <w:p w14:paraId="67D7EBE2" w14:textId="77777777" w:rsidR="007D0317" w:rsidRPr="00F91026" w:rsidRDefault="007D0317" w:rsidP="006A12C5">
      <w:pPr>
        <w:spacing w:after="0" w:line="276" w:lineRule="auto"/>
        <w:rPr>
          <w:rFonts w:ascii="Calibri" w:hAnsi="Calibri" w:cs="Calibri"/>
          <w:lang w:val="en-US"/>
        </w:rPr>
      </w:pPr>
    </w:p>
    <w:p w14:paraId="293C7390" w14:textId="77777777" w:rsidR="00E42DA1" w:rsidRPr="00F91026" w:rsidRDefault="00E42DA1" w:rsidP="006A12C5">
      <w:pPr>
        <w:spacing w:after="0" w:line="276" w:lineRule="auto"/>
        <w:rPr>
          <w:rFonts w:ascii="Calibri" w:hAnsi="Calibri" w:cs="Calibri"/>
          <w:lang w:val="en-US"/>
        </w:rPr>
      </w:pPr>
    </w:p>
    <w:p w14:paraId="4F8A2B03" w14:textId="6F5EE6A7" w:rsidR="007D0317" w:rsidRPr="00F91026" w:rsidRDefault="00E42DA1" w:rsidP="006A12C5">
      <w:pPr>
        <w:pStyle w:val="Title"/>
        <w:spacing w:after="0" w:line="276" w:lineRule="auto"/>
        <w:contextualSpacing w:val="0"/>
        <w:rPr>
          <w:rFonts w:ascii="Calibri" w:hAnsi="Calibri" w:cs="Calibri"/>
          <w:b/>
          <w:bCs/>
          <w:sz w:val="24"/>
          <w:szCs w:val="24"/>
        </w:rPr>
      </w:pPr>
      <w:r w:rsidRPr="00F91026">
        <w:rPr>
          <w:rFonts w:ascii="Calibri" w:hAnsi="Calibri" w:cs="Calibri"/>
          <w:b/>
          <w:bCs/>
          <w:sz w:val="24"/>
          <w:szCs w:val="24"/>
        </w:rPr>
        <w:t>3</w:t>
      </w:r>
      <w:r w:rsidR="007D0317" w:rsidRPr="00F91026">
        <w:rPr>
          <w:rFonts w:ascii="Calibri" w:hAnsi="Calibri" w:cs="Calibri"/>
          <w:b/>
          <w:bCs/>
          <w:sz w:val="24"/>
          <w:szCs w:val="24"/>
        </w:rPr>
        <w:t>.</w:t>
      </w:r>
      <w:r w:rsidR="007D0317" w:rsidRPr="00F91026">
        <w:rPr>
          <w:rFonts w:ascii="Calibri" w:hAnsi="Calibri" w:cs="Calibri"/>
          <w:b/>
          <w:bCs/>
          <w:sz w:val="24"/>
          <w:szCs w:val="24"/>
        </w:rPr>
        <w:tab/>
        <w:t>Membership and Quorum</w:t>
      </w:r>
    </w:p>
    <w:p w14:paraId="5FC9EEA4" w14:textId="77777777" w:rsidR="007D0317" w:rsidRPr="00F91026" w:rsidRDefault="007D0317" w:rsidP="006A12C5">
      <w:pPr>
        <w:pStyle w:val="Title"/>
        <w:tabs>
          <w:tab w:val="left" w:pos="720"/>
        </w:tabs>
        <w:spacing w:after="0" w:line="276" w:lineRule="auto"/>
        <w:contextualSpacing w:val="0"/>
        <w:rPr>
          <w:rFonts w:ascii="Calibri" w:hAnsi="Calibri" w:cs="Calibri"/>
          <w:sz w:val="24"/>
          <w:szCs w:val="24"/>
        </w:rPr>
      </w:pPr>
      <w:r w:rsidRPr="00F91026">
        <w:rPr>
          <w:rFonts w:ascii="Calibri" w:hAnsi="Calibri" w:cs="Calibri"/>
          <w:sz w:val="24"/>
          <w:szCs w:val="24"/>
        </w:rPr>
        <w:t xml:space="preserve">The Committee shall consist of between three and five directors as chosen by the Board.  </w:t>
      </w:r>
    </w:p>
    <w:p w14:paraId="0D4A1EDC" w14:textId="77777777" w:rsidR="007D0317" w:rsidRPr="00F91026" w:rsidRDefault="007D0317" w:rsidP="006A12C5">
      <w:pPr>
        <w:spacing w:after="0" w:line="276" w:lineRule="auto"/>
        <w:rPr>
          <w:rFonts w:ascii="Calibri" w:hAnsi="Calibri" w:cs="Calibri"/>
        </w:rPr>
      </w:pPr>
    </w:p>
    <w:p w14:paraId="49789E3B" w14:textId="1D090EE4" w:rsidR="007D0317" w:rsidRPr="00F91026" w:rsidRDefault="007D0317" w:rsidP="006A12C5">
      <w:pPr>
        <w:spacing w:after="0" w:line="276" w:lineRule="auto"/>
        <w:rPr>
          <w:rFonts w:ascii="Calibri" w:hAnsi="Calibri" w:cs="Calibri"/>
        </w:rPr>
      </w:pPr>
      <w:r w:rsidRPr="00F91026">
        <w:rPr>
          <w:rFonts w:ascii="Calibri" w:hAnsi="Calibri" w:cs="Calibri"/>
        </w:rPr>
        <w:t>A majority of Committee members must have relevant financial experience</w:t>
      </w:r>
      <w:r w:rsidR="008F4F9D">
        <w:rPr>
          <w:rFonts w:ascii="Calibri" w:hAnsi="Calibri" w:cs="Calibri"/>
        </w:rPr>
        <w:t xml:space="preserve"> </w:t>
      </w:r>
      <w:r w:rsidR="008F4F9D" w:rsidRPr="00BD3DFF">
        <w:rPr>
          <w:rFonts w:ascii="Calibri" w:hAnsi="Calibri" w:cs="Calibri"/>
        </w:rPr>
        <w:t>– for example relevant professional / academic  qualifications; previous experience on an equivalent committee; experience of being part of a treasury function; experience analysing financial accounts and cash flows.</w:t>
      </w:r>
    </w:p>
    <w:p w14:paraId="5B1AB772" w14:textId="77777777" w:rsidR="007D0317" w:rsidRPr="00F91026" w:rsidRDefault="007D0317" w:rsidP="006A12C5">
      <w:pPr>
        <w:pStyle w:val="Title"/>
        <w:spacing w:after="0" w:line="276" w:lineRule="auto"/>
        <w:ind w:left="720"/>
        <w:contextualSpacing w:val="0"/>
        <w:rPr>
          <w:rFonts w:ascii="Calibri" w:hAnsi="Calibri" w:cs="Calibri"/>
          <w:b/>
          <w:bCs/>
          <w:sz w:val="24"/>
          <w:szCs w:val="24"/>
        </w:rPr>
      </w:pPr>
    </w:p>
    <w:p w14:paraId="2AFC659C" w14:textId="0DE861CC" w:rsidR="007D0317" w:rsidRPr="00F91026" w:rsidRDefault="007D0317" w:rsidP="006A12C5">
      <w:pPr>
        <w:pStyle w:val="Title"/>
        <w:spacing w:after="0" w:line="276" w:lineRule="auto"/>
        <w:contextualSpacing w:val="0"/>
        <w:rPr>
          <w:rFonts w:ascii="Calibri" w:hAnsi="Calibri" w:cs="Calibri"/>
          <w:b/>
          <w:bCs/>
          <w:sz w:val="24"/>
          <w:szCs w:val="24"/>
        </w:rPr>
      </w:pPr>
      <w:r w:rsidRPr="00F91026">
        <w:rPr>
          <w:rFonts w:ascii="Calibri" w:hAnsi="Calibri" w:cs="Calibri"/>
          <w:sz w:val="24"/>
          <w:szCs w:val="24"/>
        </w:rPr>
        <w:t xml:space="preserve">The Chair </w:t>
      </w:r>
      <w:r w:rsidR="00BD3DFF">
        <w:rPr>
          <w:rFonts w:ascii="Calibri" w:hAnsi="Calibri" w:cs="Calibri"/>
          <w:sz w:val="24"/>
          <w:szCs w:val="24"/>
        </w:rPr>
        <w:t xml:space="preserve">and Vice-Chair </w:t>
      </w:r>
      <w:r w:rsidRPr="00F91026">
        <w:rPr>
          <w:rFonts w:ascii="Calibri" w:hAnsi="Calibri" w:cs="Calibri"/>
          <w:sz w:val="24"/>
          <w:szCs w:val="24"/>
        </w:rPr>
        <w:t xml:space="preserve">of the Committee shall be chosen by the members of the Committee at the </w:t>
      </w:r>
      <w:r w:rsidR="00373E10">
        <w:rPr>
          <w:rFonts w:ascii="Calibri" w:hAnsi="Calibri" w:cs="Calibri"/>
          <w:sz w:val="24"/>
          <w:szCs w:val="24"/>
        </w:rPr>
        <w:t xml:space="preserve">first meeting </w:t>
      </w:r>
      <w:r w:rsidR="00BF4155">
        <w:rPr>
          <w:rFonts w:ascii="Calibri" w:hAnsi="Calibri" w:cs="Calibri"/>
          <w:sz w:val="24"/>
          <w:szCs w:val="24"/>
        </w:rPr>
        <w:t xml:space="preserve">of the Committee after the </w:t>
      </w:r>
      <w:r w:rsidRPr="00F91026">
        <w:rPr>
          <w:rFonts w:ascii="Calibri" w:hAnsi="Calibri" w:cs="Calibri"/>
          <w:sz w:val="24"/>
          <w:szCs w:val="24"/>
        </w:rPr>
        <w:t>Board meeting at which appointments to the Committee are determined</w:t>
      </w:r>
      <w:r w:rsidR="00BF4155">
        <w:rPr>
          <w:rFonts w:ascii="Calibri" w:hAnsi="Calibri" w:cs="Calibri"/>
          <w:sz w:val="24"/>
          <w:szCs w:val="24"/>
        </w:rPr>
        <w:t xml:space="preserve"> each year</w:t>
      </w:r>
      <w:r w:rsidRPr="00F91026">
        <w:rPr>
          <w:rFonts w:ascii="Calibri" w:hAnsi="Calibri" w:cs="Calibri"/>
          <w:sz w:val="24"/>
          <w:szCs w:val="24"/>
        </w:rPr>
        <w:t>.  The Chair cannot be the President of the Society.</w:t>
      </w:r>
    </w:p>
    <w:p w14:paraId="2FD2D94E" w14:textId="77777777" w:rsidR="007D0317" w:rsidRPr="00F91026" w:rsidRDefault="007D0317" w:rsidP="006A12C5">
      <w:pPr>
        <w:pStyle w:val="Title"/>
        <w:spacing w:after="0" w:line="276" w:lineRule="auto"/>
        <w:ind w:left="720"/>
        <w:contextualSpacing w:val="0"/>
        <w:rPr>
          <w:rFonts w:ascii="Calibri" w:hAnsi="Calibri" w:cs="Calibri"/>
          <w:b/>
          <w:bCs/>
          <w:sz w:val="24"/>
          <w:szCs w:val="24"/>
        </w:rPr>
      </w:pPr>
    </w:p>
    <w:p w14:paraId="46E751B0" w14:textId="77777777" w:rsidR="007D0317" w:rsidRPr="00F91026" w:rsidRDefault="007D0317" w:rsidP="006A12C5">
      <w:pPr>
        <w:spacing w:after="0" w:line="276" w:lineRule="auto"/>
        <w:rPr>
          <w:rFonts w:ascii="Calibri" w:hAnsi="Calibri" w:cs="Calibri"/>
        </w:rPr>
      </w:pPr>
      <w:r w:rsidRPr="00F91026">
        <w:rPr>
          <w:rFonts w:ascii="Calibri" w:hAnsi="Calibri" w:cs="Calibri"/>
        </w:rPr>
        <w:t xml:space="preserve">Appointments to the Committee will be for a period of up to three years, which may be extended for two further three year periods. </w:t>
      </w:r>
    </w:p>
    <w:p w14:paraId="3335AA4D" w14:textId="77777777" w:rsidR="007D0317" w:rsidRPr="00F91026" w:rsidRDefault="007D0317" w:rsidP="006A12C5">
      <w:pPr>
        <w:spacing w:after="0" w:line="276" w:lineRule="auto"/>
        <w:ind w:left="720"/>
        <w:rPr>
          <w:rFonts w:ascii="Calibri" w:hAnsi="Calibri" w:cs="Calibri"/>
        </w:rPr>
      </w:pPr>
    </w:p>
    <w:p w14:paraId="2CD30BE3" w14:textId="77777777" w:rsidR="007D0317" w:rsidRPr="00F91026" w:rsidRDefault="007D0317" w:rsidP="006A12C5">
      <w:pPr>
        <w:pStyle w:val="Title"/>
        <w:spacing w:after="0" w:line="276" w:lineRule="auto"/>
        <w:contextualSpacing w:val="0"/>
        <w:rPr>
          <w:rFonts w:ascii="Calibri" w:hAnsi="Calibri" w:cs="Calibri"/>
          <w:b/>
          <w:sz w:val="24"/>
          <w:szCs w:val="24"/>
        </w:rPr>
      </w:pPr>
      <w:r w:rsidRPr="00F91026">
        <w:rPr>
          <w:rFonts w:ascii="Calibri" w:hAnsi="Calibri" w:cs="Calibri"/>
          <w:sz w:val="24"/>
          <w:szCs w:val="24"/>
        </w:rPr>
        <w:t xml:space="preserve">No employee director may serve on the Committee.  For the avoidance of doubt, employee director in this context also covers those directors who, within the previous three years have left the Society’s employment for any reason, including, for example, by way of retirement, redundancy, dismissal, or for alternative employment.  </w:t>
      </w:r>
    </w:p>
    <w:p w14:paraId="377BDAFB" w14:textId="77777777" w:rsidR="007D0317" w:rsidRPr="00F91026" w:rsidRDefault="007D0317" w:rsidP="006A12C5">
      <w:pPr>
        <w:pStyle w:val="Title"/>
        <w:spacing w:after="0" w:line="276" w:lineRule="auto"/>
        <w:ind w:left="720"/>
        <w:contextualSpacing w:val="0"/>
        <w:rPr>
          <w:rFonts w:ascii="Calibri" w:hAnsi="Calibri" w:cs="Calibri"/>
          <w:b/>
          <w:bCs/>
          <w:sz w:val="24"/>
          <w:szCs w:val="24"/>
        </w:rPr>
      </w:pPr>
    </w:p>
    <w:p w14:paraId="258CAF05" w14:textId="6CE74482" w:rsidR="007D0317" w:rsidRPr="00F91026" w:rsidRDefault="007D0317" w:rsidP="006A12C5">
      <w:pPr>
        <w:pStyle w:val="Title"/>
        <w:tabs>
          <w:tab w:val="left" w:pos="0"/>
        </w:tabs>
        <w:spacing w:after="0" w:line="276" w:lineRule="auto"/>
        <w:contextualSpacing w:val="0"/>
        <w:rPr>
          <w:rFonts w:ascii="Calibri" w:hAnsi="Calibri" w:cs="Calibri"/>
          <w:b/>
          <w:bCs/>
          <w:sz w:val="24"/>
          <w:szCs w:val="24"/>
        </w:rPr>
      </w:pPr>
      <w:r w:rsidRPr="00F91026">
        <w:rPr>
          <w:rFonts w:ascii="Calibri" w:hAnsi="Calibri" w:cs="Calibri"/>
          <w:sz w:val="24"/>
          <w:szCs w:val="24"/>
        </w:rPr>
        <w:t>A quorum shall be two members of the Committee</w:t>
      </w:r>
      <w:r w:rsidR="003A103D" w:rsidRPr="00F91026">
        <w:rPr>
          <w:rFonts w:ascii="Calibri" w:hAnsi="Calibri" w:cs="Calibri"/>
          <w:sz w:val="24"/>
          <w:szCs w:val="24"/>
        </w:rPr>
        <w:t xml:space="preserve"> – one of whom must have relevant financial experience</w:t>
      </w:r>
      <w:r w:rsidR="00231524">
        <w:rPr>
          <w:rFonts w:ascii="Calibri" w:hAnsi="Calibri" w:cs="Calibri"/>
          <w:sz w:val="24"/>
          <w:szCs w:val="24"/>
        </w:rPr>
        <w:t xml:space="preserve"> shall be the Chair or Vice-Chair.</w:t>
      </w:r>
    </w:p>
    <w:p w14:paraId="21231282" w14:textId="77777777" w:rsidR="007D0317" w:rsidRPr="00F91026" w:rsidRDefault="007D0317" w:rsidP="006A12C5">
      <w:pPr>
        <w:pStyle w:val="Title"/>
        <w:tabs>
          <w:tab w:val="left" w:pos="0"/>
        </w:tabs>
        <w:spacing w:after="0" w:line="276" w:lineRule="auto"/>
        <w:ind w:left="720"/>
        <w:contextualSpacing w:val="0"/>
        <w:rPr>
          <w:rFonts w:ascii="Calibri" w:hAnsi="Calibri" w:cs="Calibri"/>
          <w:b/>
          <w:bCs/>
          <w:sz w:val="24"/>
          <w:szCs w:val="24"/>
        </w:rPr>
      </w:pPr>
    </w:p>
    <w:p w14:paraId="2C1386D3" w14:textId="77777777" w:rsidR="007D0317" w:rsidRPr="00F91026" w:rsidRDefault="007D0317" w:rsidP="006A12C5">
      <w:pPr>
        <w:pStyle w:val="Title"/>
        <w:spacing w:after="0" w:line="276" w:lineRule="auto"/>
        <w:contextualSpacing w:val="0"/>
        <w:rPr>
          <w:rFonts w:ascii="Calibri" w:hAnsi="Calibri" w:cs="Calibri"/>
          <w:sz w:val="24"/>
          <w:szCs w:val="24"/>
        </w:rPr>
      </w:pPr>
      <w:r w:rsidRPr="00F91026">
        <w:rPr>
          <w:rFonts w:ascii="Calibri" w:hAnsi="Calibri" w:cs="Calibri"/>
          <w:sz w:val="24"/>
          <w:szCs w:val="24"/>
        </w:rPr>
        <w:t xml:space="preserve">In the absence of the Chair, the Committee shall choose a chair from among their number.  </w:t>
      </w:r>
    </w:p>
    <w:p w14:paraId="0EF59404" w14:textId="77777777" w:rsidR="007D0317" w:rsidRPr="00F91026" w:rsidRDefault="007D0317" w:rsidP="006A12C5">
      <w:pPr>
        <w:pStyle w:val="Title"/>
        <w:spacing w:after="0" w:line="276" w:lineRule="auto"/>
        <w:ind w:left="720"/>
        <w:contextualSpacing w:val="0"/>
        <w:rPr>
          <w:rFonts w:ascii="Calibri" w:hAnsi="Calibri" w:cs="Calibri"/>
          <w:sz w:val="24"/>
          <w:szCs w:val="24"/>
        </w:rPr>
      </w:pPr>
    </w:p>
    <w:p w14:paraId="262F041E" w14:textId="0F7F88A2" w:rsidR="007D0317" w:rsidRPr="00F91026" w:rsidRDefault="007D0317" w:rsidP="006A12C5">
      <w:pPr>
        <w:pStyle w:val="Title"/>
        <w:spacing w:after="0" w:line="276" w:lineRule="auto"/>
        <w:contextualSpacing w:val="0"/>
        <w:rPr>
          <w:rFonts w:ascii="Calibri" w:hAnsi="Calibri" w:cs="Calibri"/>
          <w:b/>
          <w:bCs/>
          <w:sz w:val="24"/>
          <w:szCs w:val="24"/>
        </w:rPr>
      </w:pPr>
      <w:r w:rsidRPr="00F91026">
        <w:rPr>
          <w:rFonts w:ascii="Calibri" w:hAnsi="Calibri" w:cs="Calibri"/>
          <w:sz w:val="24"/>
          <w:szCs w:val="24"/>
        </w:rPr>
        <w:t xml:space="preserve">The Society’s Secretary (or their nominee) shall be secretary to the Committee. </w:t>
      </w:r>
    </w:p>
    <w:p w14:paraId="74BDC012" w14:textId="77777777" w:rsidR="007D0317" w:rsidRPr="00F91026" w:rsidRDefault="007D0317" w:rsidP="006A12C5">
      <w:pPr>
        <w:pStyle w:val="Title"/>
        <w:spacing w:after="0" w:line="276" w:lineRule="auto"/>
        <w:ind w:left="720"/>
        <w:contextualSpacing w:val="0"/>
        <w:rPr>
          <w:rFonts w:ascii="Calibri" w:hAnsi="Calibri" w:cs="Calibri"/>
          <w:b/>
          <w:bCs/>
          <w:sz w:val="24"/>
          <w:szCs w:val="24"/>
        </w:rPr>
      </w:pPr>
    </w:p>
    <w:p w14:paraId="2E7E7631" w14:textId="77777777" w:rsidR="007D0317" w:rsidRPr="00F91026" w:rsidRDefault="007D0317" w:rsidP="006A12C5">
      <w:pPr>
        <w:pStyle w:val="Title"/>
        <w:spacing w:after="0" w:line="276" w:lineRule="auto"/>
        <w:contextualSpacing w:val="0"/>
        <w:rPr>
          <w:rFonts w:ascii="Calibri" w:hAnsi="Calibri" w:cs="Calibri"/>
          <w:b/>
          <w:bCs/>
          <w:sz w:val="24"/>
          <w:szCs w:val="24"/>
        </w:rPr>
      </w:pPr>
      <w:r w:rsidRPr="00F91026">
        <w:rPr>
          <w:rFonts w:ascii="Calibri" w:hAnsi="Calibri" w:cs="Calibri"/>
          <w:sz w:val="24"/>
          <w:szCs w:val="24"/>
        </w:rPr>
        <w:t>External consultants cannot serve on the Committee.</w:t>
      </w:r>
    </w:p>
    <w:p w14:paraId="4488EED2" w14:textId="77777777" w:rsidR="007D0317" w:rsidRPr="00F91026" w:rsidRDefault="007D0317" w:rsidP="006A12C5">
      <w:pPr>
        <w:pStyle w:val="Title"/>
        <w:spacing w:after="0" w:line="276" w:lineRule="auto"/>
        <w:contextualSpacing w:val="0"/>
        <w:rPr>
          <w:rFonts w:ascii="Calibri" w:hAnsi="Calibri" w:cs="Calibri"/>
          <w:b/>
          <w:bCs/>
          <w:sz w:val="24"/>
          <w:szCs w:val="24"/>
        </w:rPr>
      </w:pPr>
    </w:p>
    <w:p w14:paraId="3F1FF1DD" w14:textId="77777777" w:rsidR="003A103D" w:rsidRPr="00F91026" w:rsidRDefault="003A103D" w:rsidP="006A12C5">
      <w:pPr>
        <w:pStyle w:val="Title"/>
        <w:spacing w:after="0" w:line="276" w:lineRule="auto"/>
        <w:contextualSpacing w:val="0"/>
        <w:rPr>
          <w:rFonts w:ascii="Calibri" w:hAnsi="Calibri" w:cs="Calibri"/>
          <w:b/>
          <w:bCs/>
          <w:sz w:val="24"/>
          <w:szCs w:val="24"/>
        </w:rPr>
      </w:pPr>
    </w:p>
    <w:p w14:paraId="543ED0E5" w14:textId="1BCDBE45" w:rsidR="007D0317" w:rsidRPr="00F91026" w:rsidRDefault="007D0317" w:rsidP="00AC3C88">
      <w:pPr>
        <w:pStyle w:val="Title"/>
        <w:numPr>
          <w:ilvl w:val="0"/>
          <w:numId w:val="24"/>
        </w:numPr>
        <w:spacing w:after="0" w:line="276" w:lineRule="auto"/>
        <w:ind w:hanging="720"/>
        <w:contextualSpacing w:val="0"/>
        <w:rPr>
          <w:rFonts w:ascii="Calibri" w:hAnsi="Calibri" w:cs="Calibri"/>
          <w:b/>
          <w:bCs/>
          <w:sz w:val="24"/>
          <w:szCs w:val="24"/>
        </w:rPr>
      </w:pPr>
      <w:r w:rsidRPr="00F91026">
        <w:rPr>
          <w:rFonts w:ascii="Calibri" w:hAnsi="Calibri" w:cs="Calibri"/>
          <w:b/>
          <w:bCs/>
          <w:sz w:val="24"/>
          <w:szCs w:val="24"/>
        </w:rPr>
        <w:t xml:space="preserve">Remit </w:t>
      </w:r>
    </w:p>
    <w:p w14:paraId="642B7D65" w14:textId="2F39473C" w:rsidR="004B210C" w:rsidRDefault="00FD1922" w:rsidP="006A12C5">
      <w:pPr>
        <w:spacing w:after="0" w:line="276" w:lineRule="auto"/>
        <w:rPr>
          <w:rFonts w:ascii="Calibri" w:hAnsi="Calibri" w:cs="Calibri"/>
        </w:rPr>
      </w:pPr>
      <w:r w:rsidRPr="00F91026">
        <w:rPr>
          <w:rFonts w:ascii="Calibri" w:hAnsi="Calibri" w:cs="Calibri"/>
        </w:rPr>
        <w:t xml:space="preserve">The initial remit of the Committee will be as below.  </w:t>
      </w:r>
      <w:r w:rsidR="00A91069" w:rsidRPr="00F91026">
        <w:rPr>
          <w:rFonts w:ascii="Calibri" w:hAnsi="Calibri" w:cs="Calibri"/>
        </w:rPr>
        <w:t>It is acknowledged t</w:t>
      </w:r>
      <w:r w:rsidRPr="00F91026">
        <w:rPr>
          <w:rFonts w:ascii="Calibri" w:hAnsi="Calibri" w:cs="Calibri"/>
        </w:rPr>
        <w:t xml:space="preserve">his will evolve and mature </w:t>
      </w:r>
      <w:r w:rsidR="00A91069" w:rsidRPr="00F91026">
        <w:rPr>
          <w:rFonts w:ascii="Calibri" w:hAnsi="Calibri" w:cs="Calibri"/>
        </w:rPr>
        <w:t>as the Committee becomes established.</w:t>
      </w:r>
    </w:p>
    <w:p w14:paraId="56815B8E" w14:textId="77777777" w:rsidR="00755719" w:rsidRPr="00D606FA" w:rsidRDefault="00755719" w:rsidP="006A12C5">
      <w:pPr>
        <w:spacing w:after="0" w:line="276" w:lineRule="auto"/>
        <w:rPr>
          <w:rFonts w:ascii="Calibri" w:hAnsi="Calibri" w:cs="Calibri"/>
        </w:rPr>
      </w:pPr>
    </w:p>
    <w:p w14:paraId="21AFCA3B" w14:textId="77777777" w:rsidR="00755719" w:rsidRPr="00755719" w:rsidRDefault="00755719" w:rsidP="00755719">
      <w:pPr>
        <w:spacing w:after="0" w:line="276" w:lineRule="auto"/>
        <w:rPr>
          <w:rFonts w:ascii="Calibri" w:hAnsi="Calibri" w:cs="Calibri"/>
        </w:rPr>
      </w:pPr>
      <w:r w:rsidRPr="00755719">
        <w:rPr>
          <w:rFonts w:ascii="Calibri" w:hAnsi="Calibri" w:cs="Calibri"/>
        </w:rPr>
        <w:t>For the avoidance of doubt, the Committee has no delegated powers to authorise any matters, but may make recommendations to the Board on any areas within its remit.</w:t>
      </w:r>
    </w:p>
    <w:p w14:paraId="75F8177E" w14:textId="77777777" w:rsidR="00771166" w:rsidRDefault="00771166" w:rsidP="006A12C5">
      <w:pPr>
        <w:spacing w:after="0" w:line="276" w:lineRule="auto"/>
        <w:rPr>
          <w:rFonts w:ascii="Calibri" w:hAnsi="Calibri" w:cs="Calibri"/>
        </w:rPr>
      </w:pPr>
    </w:p>
    <w:p w14:paraId="26818E47" w14:textId="709EB209" w:rsidR="003A103D" w:rsidRPr="00F91026" w:rsidRDefault="004B210C" w:rsidP="006A12C5">
      <w:pPr>
        <w:spacing w:after="0" w:line="276" w:lineRule="auto"/>
        <w:rPr>
          <w:rFonts w:ascii="Calibri" w:hAnsi="Calibri" w:cs="Calibri"/>
        </w:rPr>
      </w:pPr>
      <w:r w:rsidRPr="00F91026">
        <w:rPr>
          <w:rFonts w:ascii="Calibri" w:hAnsi="Calibri" w:cs="Calibri"/>
          <w:b/>
          <w:bCs/>
        </w:rPr>
        <w:t>4.1</w:t>
      </w:r>
      <w:r w:rsidR="003A103D" w:rsidRPr="00F91026">
        <w:rPr>
          <w:rFonts w:ascii="Calibri" w:hAnsi="Calibri" w:cs="Calibri"/>
          <w:b/>
          <w:bCs/>
        </w:rPr>
        <w:t xml:space="preserve"> Strategy and Policy</w:t>
      </w:r>
    </w:p>
    <w:p w14:paraId="533C132E" w14:textId="77777777" w:rsidR="003A103D" w:rsidRPr="00F91026" w:rsidRDefault="003A103D" w:rsidP="006A12C5">
      <w:pPr>
        <w:numPr>
          <w:ilvl w:val="0"/>
          <w:numId w:val="2"/>
        </w:numPr>
        <w:spacing w:after="0" w:line="276" w:lineRule="auto"/>
        <w:rPr>
          <w:rFonts w:ascii="Calibri" w:hAnsi="Calibri" w:cs="Calibri"/>
        </w:rPr>
      </w:pPr>
      <w:r w:rsidRPr="00F91026">
        <w:rPr>
          <w:rFonts w:ascii="Calibri" w:hAnsi="Calibri" w:cs="Calibri"/>
        </w:rPr>
        <w:t>Review and recommend the Treasury Management Policy, ensuring it supports business objectives and co-operative principles.</w:t>
      </w:r>
    </w:p>
    <w:p w14:paraId="42B8C04D" w14:textId="77777777" w:rsidR="003A103D" w:rsidRPr="00F91026" w:rsidRDefault="003A103D" w:rsidP="006A12C5">
      <w:pPr>
        <w:numPr>
          <w:ilvl w:val="0"/>
          <w:numId w:val="2"/>
        </w:numPr>
        <w:spacing w:after="0" w:line="276" w:lineRule="auto"/>
        <w:rPr>
          <w:rFonts w:ascii="Calibri" w:hAnsi="Calibri" w:cs="Calibri"/>
        </w:rPr>
      </w:pPr>
      <w:r w:rsidRPr="00F91026">
        <w:rPr>
          <w:rFonts w:ascii="Calibri" w:hAnsi="Calibri" w:cs="Calibri"/>
        </w:rPr>
        <w:t>Recommend the annual Treasury Strategy, including funding and investment approaches.</w:t>
      </w:r>
    </w:p>
    <w:p w14:paraId="44B615BA" w14:textId="72DFDE1A" w:rsidR="003A103D" w:rsidRPr="00F91026" w:rsidRDefault="004B210C" w:rsidP="006A12C5">
      <w:pPr>
        <w:spacing w:after="0" w:line="276" w:lineRule="auto"/>
        <w:rPr>
          <w:rFonts w:ascii="Calibri" w:hAnsi="Calibri" w:cs="Calibri"/>
        </w:rPr>
      </w:pPr>
      <w:r w:rsidRPr="00F91026">
        <w:rPr>
          <w:rFonts w:ascii="Calibri" w:hAnsi="Calibri" w:cs="Calibri"/>
          <w:b/>
          <w:bCs/>
        </w:rPr>
        <w:t>4</w:t>
      </w:r>
      <w:r w:rsidR="003A103D" w:rsidRPr="00F91026">
        <w:rPr>
          <w:rFonts w:ascii="Calibri" w:hAnsi="Calibri" w:cs="Calibri"/>
          <w:b/>
          <w:bCs/>
        </w:rPr>
        <w:t>.2 Liquidity and Funding</w:t>
      </w:r>
    </w:p>
    <w:p w14:paraId="186C4C8D" w14:textId="5E10B90C" w:rsidR="003A103D" w:rsidRPr="00F91026" w:rsidRDefault="003A103D" w:rsidP="006A12C5">
      <w:pPr>
        <w:numPr>
          <w:ilvl w:val="0"/>
          <w:numId w:val="3"/>
        </w:numPr>
        <w:spacing w:after="0" w:line="276" w:lineRule="auto"/>
        <w:rPr>
          <w:rFonts w:ascii="Calibri" w:hAnsi="Calibri" w:cs="Calibri"/>
        </w:rPr>
      </w:pPr>
      <w:r w:rsidRPr="00F91026">
        <w:rPr>
          <w:rFonts w:ascii="Calibri" w:hAnsi="Calibri" w:cs="Calibri"/>
        </w:rPr>
        <w:t>Oversee short, medium, and long-term cash flow forecasts.</w:t>
      </w:r>
    </w:p>
    <w:p w14:paraId="0DC177BF" w14:textId="77777777" w:rsidR="003A103D" w:rsidRPr="00F91026" w:rsidRDefault="003A103D" w:rsidP="006A12C5">
      <w:pPr>
        <w:numPr>
          <w:ilvl w:val="0"/>
          <w:numId w:val="3"/>
        </w:numPr>
        <w:spacing w:after="0" w:line="276" w:lineRule="auto"/>
        <w:rPr>
          <w:rFonts w:ascii="Calibri" w:hAnsi="Calibri" w:cs="Calibri"/>
        </w:rPr>
      </w:pPr>
      <w:r w:rsidRPr="00F91026">
        <w:rPr>
          <w:rFonts w:ascii="Calibri" w:hAnsi="Calibri" w:cs="Calibri"/>
        </w:rPr>
        <w:t>Monitor liquidity to ensure adequacy to meet operational and strategic needs.</w:t>
      </w:r>
    </w:p>
    <w:p w14:paraId="521B888B" w14:textId="4767681E" w:rsidR="003A103D" w:rsidRPr="00F91026" w:rsidRDefault="003A103D" w:rsidP="006A12C5">
      <w:pPr>
        <w:numPr>
          <w:ilvl w:val="0"/>
          <w:numId w:val="3"/>
        </w:numPr>
        <w:spacing w:after="0" w:line="276" w:lineRule="auto"/>
        <w:rPr>
          <w:rFonts w:ascii="Calibri" w:hAnsi="Calibri" w:cs="Calibri"/>
        </w:rPr>
      </w:pPr>
      <w:r w:rsidRPr="00F91026">
        <w:rPr>
          <w:rFonts w:ascii="Calibri" w:hAnsi="Calibri" w:cs="Calibri"/>
        </w:rPr>
        <w:t xml:space="preserve">Review and approve </w:t>
      </w:r>
      <w:r w:rsidR="009E7339">
        <w:rPr>
          <w:rFonts w:ascii="Calibri" w:hAnsi="Calibri" w:cs="Calibri"/>
        </w:rPr>
        <w:t xml:space="preserve">recommend </w:t>
      </w:r>
      <w:r w:rsidRPr="00F91026">
        <w:rPr>
          <w:rFonts w:ascii="Calibri" w:hAnsi="Calibri" w:cs="Calibri"/>
        </w:rPr>
        <w:t>funding plans, including bank facilities and capital market transactions.</w:t>
      </w:r>
    </w:p>
    <w:p w14:paraId="05521225" w14:textId="08D34071" w:rsidR="003A103D" w:rsidRPr="00F91026" w:rsidRDefault="004B210C" w:rsidP="006A12C5">
      <w:pPr>
        <w:spacing w:after="0" w:line="276" w:lineRule="auto"/>
        <w:rPr>
          <w:rFonts w:ascii="Calibri" w:hAnsi="Calibri" w:cs="Calibri"/>
        </w:rPr>
      </w:pPr>
      <w:r w:rsidRPr="00F91026">
        <w:rPr>
          <w:rFonts w:ascii="Calibri" w:hAnsi="Calibri" w:cs="Calibri"/>
          <w:b/>
          <w:bCs/>
        </w:rPr>
        <w:t>4</w:t>
      </w:r>
      <w:r w:rsidR="003A103D" w:rsidRPr="00F91026">
        <w:rPr>
          <w:rFonts w:ascii="Calibri" w:hAnsi="Calibri" w:cs="Calibri"/>
          <w:b/>
          <w:bCs/>
        </w:rPr>
        <w:t>.3 Financial Risk Management</w:t>
      </w:r>
    </w:p>
    <w:p w14:paraId="388EBA28" w14:textId="77777777" w:rsidR="003A103D" w:rsidRPr="00F91026" w:rsidRDefault="003A103D" w:rsidP="006A12C5">
      <w:pPr>
        <w:numPr>
          <w:ilvl w:val="0"/>
          <w:numId w:val="4"/>
        </w:numPr>
        <w:spacing w:after="0" w:line="276" w:lineRule="auto"/>
        <w:rPr>
          <w:rFonts w:ascii="Calibri" w:hAnsi="Calibri" w:cs="Calibri"/>
        </w:rPr>
      </w:pPr>
      <w:r w:rsidRPr="00F91026">
        <w:rPr>
          <w:rFonts w:ascii="Calibri" w:hAnsi="Calibri" w:cs="Calibri"/>
        </w:rPr>
        <w:t>Monitor key treasury risks (interest rate, liquidity, refinancing, counterparty).</w:t>
      </w:r>
    </w:p>
    <w:p w14:paraId="7ECE3E59" w14:textId="4EE01D0F" w:rsidR="009A0D42" w:rsidRPr="009A0D42" w:rsidRDefault="003A103D" w:rsidP="009A0D42">
      <w:pPr>
        <w:numPr>
          <w:ilvl w:val="0"/>
          <w:numId w:val="4"/>
        </w:numPr>
        <w:spacing w:after="0" w:line="276" w:lineRule="auto"/>
        <w:rPr>
          <w:rFonts w:ascii="Calibri" w:hAnsi="Calibri" w:cs="Calibri"/>
        </w:rPr>
      </w:pPr>
      <w:r w:rsidRPr="00F91026">
        <w:rPr>
          <w:rFonts w:ascii="Calibri" w:hAnsi="Calibri" w:cs="Calibri"/>
        </w:rPr>
        <w:t>Oversee hedging strategies and the use of financial instruments.</w:t>
      </w:r>
    </w:p>
    <w:p w14:paraId="4A6B4FED" w14:textId="4A93F051" w:rsidR="003A103D" w:rsidRPr="00F91026" w:rsidRDefault="004B210C" w:rsidP="009A0D42">
      <w:pPr>
        <w:spacing w:after="0" w:line="276" w:lineRule="auto"/>
        <w:rPr>
          <w:rFonts w:ascii="Calibri" w:hAnsi="Calibri" w:cs="Calibri"/>
        </w:rPr>
      </w:pPr>
      <w:r w:rsidRPr="00F91026">
        <w:rPr>
          <w:rFonts w:ascii="Calibri" w:hAnsi="Calibri" w:cs="Calibri"/>
          <w:b/>
          <w:bCs/>
        </w:rPr>
        <w:t>4</w:t>
      </w:r>
      <w:r w:rsidR="003A103D" w:rsidRPr="00F91026">
        <w:rPr>
          <w:rFonts w:ascii="Calibri" w:hAnsi="Calibri" w:cs="Calibri"/>
          <w:b/>
          <w:bCs/>
        </w:rPr>
        <w:t>.4 Investment Oversight</w:t>
      </w:r>
    </w:p>
    <w:p w14:paraId="40D727DD" w14:textId="77777777" w:rsidR="003A103D" w:rsidRDefault="003A103D" w:rsidP="006A12C5">
      <w:pPr>
        <w:numPr>
          <w:ilvl w:val="0"/>
          <w:numId w:val="5"/>
        </w:numPr>
        <w:spacing w:after="0" w:line="276" w:lineRule="auto"/>
        <w:rPr>
          <w:rFonts w:ascii="Calibri" w:hAnsi="Calibri" w:cs="Calibri"/>
        </w:rPr>
      </w:pPr>
      <w:r w:rsidRPr="00F91026">
        <w:rPr>
          <w:rFonts w:ascii="Calibri" w:hAnsi="Calibri" w:cs="Calibri"/>
        </w:rPr>
        <w:t>Review performance of cash and investment portfolios.</w:t>
      </w:r>
    </w:p>
    <w:p w14:paraId="206F1A84" w14:textId="34429443" w:rsidR="009A0D42" w:rsidRPr="009A0D42" w:rsidRDefault="009A0D42" w:rsidP="009A0D42">
      <w:pPr>
        <w:spacing w:after="0" w:line="276" w:lineRule="auto"/>
        <w:rPr>
          <w:rFonts w:ascii="Calibri" w:hAnsi="Calibri" w:cs="Calibri"/>
          <w:b/>
          <w:bCs/>
        </w:rPr>
      </w:pPr>
      <w:bookmarkStart w:id="0" w:name="_Hlk200551048"/>
      <w:r w:rsidRPr="009A0D42">
        <w:rPr>
          <w:rFonts w:ascii="Calibri" w:hAnsi="Calibri" w:cs="Calibri"/>
          <w:b/>
          <w:bCs/>
        </w:rPr>
        <w:t>4.5 Share Capital</w:t>
      </w:r>
    </w:p>
    <w:p w14:paraId="332B483F" w14:textId="4097F3C1" w:rsidR="009A0D42" w:rsidRPr="009A0D42" w:rsidRDefault="009A0D42" w:rsidP="009A0D42">
      <w:pPr>
        <w:pStyle w:val="ListParagraph"/>
        <w:numPr>
          <w:ilvl w:val="0"/>
          <w:numId w:val="25"/>
        </w:numPr>
        <w:spacing w:after="0" w:line="276" w:lineRule="auto"/>
        <w:rPr>
          <w:rFonts w:ascii="Calibri" w:hAnsi="Calibri" w:cs="Calibri"/>
        </w:rPr>
      </w:pPr>
      <w:r w:rsidRPr="009A0D42">
        <w:rPr>
          <w:rFonts w:ascii="Calibri" w:hAnsi="Calibri" w:cs="Calibri"/>
        </w:rPr>
        <w:t>Oversee member equity funding and rate setting.</w:t>
      </w:r>
    </w:p>
    <w:bookmarkEnd w:id="0"/>
    <w:p w14:paraId="19210DFF" w14:textId="749E54AE" w:rsidR="003A103D" w:rsidRPr="00F91026" w:rsidRDefault="004B210C" w:rsidP="006A12C5">
      <w:pPr>
        <w:spacing w:after="0" w:line="276" w:lineRule="auto"/>
        <w:rPr>
          <w:rFonts w:ascii="Calibri" w:hAnsi="Calibri" w:cs="Calibri"/>
        </w:rPr>
      </w:pPr>
      <w:r w:rsidRPr="00F91026">
        <w:rPr>
          <w:rFonts w:ascii="Calibri" w:hAnsi="Calibri" w:cs="Calibri"/>
          <w:b/>
          <w:bCs/>
        </w:rPr>
        <w:t>4</w:t>
      </w:r>
      <w:r w:rsidR="003A103D" w:rsidRPr="00F91026">
        <w:rPr>
          <w:rFonts w:ascii="Calibri" w:hAnsi="Calibri" w:cs="Calibri"/>
          <w:b/>
          <w:bCs/>
        </w:rPr>
        <w:t>.</w:t>
      </w:r>
      <w:r w:rsidR="009A0D42">
        <w:rPr>
          <w:rFonts w:ascii="Calibri" w:hAnsi="Calibri" w:cs="Calibri"/>
          <w:b/>
          <w:bCs/>
        </w:rPr>
        <w:t>6</w:t>
      </w:r>
      <w:r w:rsidR="003A103D" w:rsidRPr="00F91026">
        <w:rPr>
          <w:rFonts w:ascii="Calibri" w:hAnsi="Calibri" w:cs="Calibri"/>
          <w:b/>
          <w:bCs/>
        </w:rPr>
        <w:t xml:space="preserve"> Compliance and Covenants</w:t>
      </w:r>
    </w:p>
    <w:p w14:paraId="2422B8C5" w14:textId="77777777" w:rsidR="003A103D" w:rsidRPr="00F91026" w:rsidRDefault="003A103D" w:rsidP="006A12C5">
      <w:pPr>
        <w:numPr>
          <w:ilvl w:val="0"/>
          <w:numId w:val="6"/>
        </w:numPr>
        <w:spacing w:after="0" w:line="276" w:lineRule="auto"/>
        <w:rPr>
          <w:rFonts w:ascii="Calibri" w:hAnsi="Calibri" w:cs="Calibri"/>
        </w:rPr>
      </w:pPr>
      <w:r w:rsidRPr="00F91026">
        <w:rPr>
          <w:rFonts w:ascii="Calibri" w:hAnsi="Calibri" w:cs="Calibri"/>
        </w:rPr>
        <w:t>Monitor compliance with lender covenants and treasury-related financial controls.</w:t>
      </w:r>
    </w:p>
    <w:p w14:paraId="63171BD4" w14:textId="77777777" w:rsidR="003A103D" w:rsidRPr="00F91026" w:rsidRDefault="003A103D" w:rsidP="006A12C5">
      <w:pPr>
        <w:numPr>
          <w:ilvl w:val="0"/>
          <w:numId w:val="6"/>
        </w:numPr>
        <w:spacing w:after="0" w:line="276" w:lineRule="auto"/>
        <w:rPr>
          <w:rFonts w:ascii="Calibri" w:hAnsi="Calibri" w:cs="Calibri"/>
        </w:rPr>
      </w:pPr>
      <w:r w:rsidRPr="00F91026">
        <w:rPr>
          <w:rFonts w:ascii="Calibri" w:hAnsi="Calibri" w:cs="Calibri"/>
        </w:rPr>
        <w:t>Ensure regulatory compliance with financial regulations and reporting requirements.</w:t>
      </w:r>
    </w:p>
    <w:p w14:paraId="0893920C" w14:textId="6512D3A6" w:rsidR="003A103D" w:rsidRPr="00F91026" w:rsidRDefault="004B210C" w:rsidP="006A12C5">
      <w:pPr>
        <w:spacing w:after="0" w:line="276" w:lineRule="auto"/>
        <w:rPr>
          <w:rFonts w:ascii="Calibri" w:hAnsi="Calibri" w:cs="Calibri"/>
        </w:rPr>
      </w:pPr>
      <w:r w:rsidRPr="00F91026">
        <w:rPr>
          <w:rFonts w:ascii="Calibri" w:hAnsi="Calibri" w:cs="Calibri"/>
          <w:b/>
          <w:bCs/>
        </w:rPr>
        <w:t>4</w:t>
      </w:r>
      <w:r w:rsidR="003A103D" w:rsidRPr="00F91026">
        <w:rPr>
          <w:rFonts w:ascii="Calibri" w:hAnsi="Calibri" w:cs="Calibri"/>
          <w:b/>
          <w:bCs/>
        </w:rPr>
        <w:t>.</w:t>
      </w:r>
      <w:r w:rsidR="009A0D42">
        <w:rPr>
          <w:rFonts w:ascii="Calibri" w:hAnsi="Calibri" w:cs="Calibri"/>
          <w:b/>
          <w:bCs/>
        </w:rPr>
        <w:t>7</w:t>
      </w:r>
      <w:r w:rsidR="003A103D" w:rsidRPr="00F91026">
        <w:rPr>
          <w:rFonts w:ascii="Calibri" w:hAnsi="Calibri" w:cs="Calibri"/>
          <w:b/>
          <w:bCs/>
        </w:rPr>
        <w:t xml:space="preserve"> Reporting and Assurance</w:t>
      </w:r>
    </w:p>
    <w:p w14:paraId="20569DC5" w14:textId="77777777" w:rsidR="003A103D" w:rsidRPr="00F91026" w:rsidRDefault="003A103D" w:rsidP="006A12C5">
      <w:pPr>
        <w:numPr>
          <w:ilvl w:val="0"/>
          <w:numId w:val="7"/>
        </w:numPr>
        <w:spacing w:after="0" w:line="276" w:lineRule="auto"/>
        <w:rPr>
          <w:rFonts w:ascii="Calibri" w:hAnsi="Calibri" w:cs="Calibri"/>
        </w:rPr>
      </w:pPr>
      <w:r w:rsidRPr="00F91026">
        <w:rPr>
          <w:rFonts w:ascii="Calibri" w:hAnsi="Calibri" w:cs="Calibri"/>
        </w:rPr>
        <w:t>Receive and review regular treasury reports, including:</w:t>
      </w:r>
    </w:p>
    <w:p w14:paraId="35EF4604" w14:textId="77777777" w:rsidR="003A103D" w:rsidRPr="00F91026" w:rsidRDefault="003A103D" w:rsidP="006A12C5">
      <w:pPr>
        <w:numPr>
          <w:ilvl w:val="1"/>
          <w:numId w:val="7"/>
        </w:numPr>
        <w:spacing w:after="0" w:line="276" w:lineRule="auto"/>
        <w:rPr>
          <w:rFonts w:ascii="Calibri" w:hAnsi="Calibri" w:cs="Calibri"/>
        </w:rPr>
      </w:pPr>
      <w:r w:rsidRPr="00F91026">
        <w:rPr>
          <w:rFonts w:ascii="Calibri" w:hAnsi="Calibri" w:cs="Calibri"/>
        </w:rPr>
        <w:t>Debt and investment position.</w:t>
      </w:r>
    </w:p>
    <w:p w14:paraId="375DCAD1" w14:textId="77777777" w:rsidR="003A103D" w:rsidRDefault="003A103D" w:rsidP="006A12C5">
      <w:pPr>
        <w:numPr>
          <w:ilvl w:val="1"/>
          <w:numId w:val="7"/>
        </w:numPr>
        <w:spacing w:after="0" w:line="276" w:lineRule="auto"/>
        <w:rPr>
          <w:rFonts w:ascii="Calibri" w:hAnsi="Calibri" w:cs="Calibri"/>
        </w:rPr>
      </w:pPr>
      <w:r w:rsidRPr="00F91026">
        <w:rPr>
          <w:rFonts w:ascii="Calibri" w:hAnsi="Calibri" w:cs="Calibri"/>
        </w:rPr>
        <w:lastRenderedPageBreak/>
        <w:t>Liquidity forecasts.</w:t>
      </w:r>
    </w:p>
    <w:p w14:paraId="45C7200D" w14:textId="235396AE" w:rsidR="00351E10" w:rsidRDefault="00351E10" w:rsidP="006A12C5">
      <w:pPr>
        <w:numPr>
          <w:ilvl w:val="1"/>
          <w:numId w:val="7"/>
        </w:numPr>
        <w:spacing w:after="0" w:line="276" w:lineRule="auto"/>
        <w:rPr>
          <w:rFonts w:ascii="Calibri" w:hAnsi="Calibri" w:cs="Calibri"/>
        </w:rPr>
      </w:pPr>
      <w:r>
        <w:rPr>
          <w:rFonts w:ascii="Calibri" w:hAnsi="Calibri" w:cs="Calibri"/>
        </w:rPr>
        <w:t>Bank covenant compliance forecasts</w:t>
      </w:r>
    </w:p>
    <w:p w14:paraId="1B74E6C2" w14:textId="7EE6AF8C" w:rsidR="00351E10" w:rsidRPr="00F91026" w:rsidRDefault="00351E10" w:rsidP="006A12C5">
      <w:pPr>
        <w:numPr>
          <w:ilvl w:val="1"/>
          <w:numId w:val="7"/>
        </w:numPr>
        <w:spacing w:after="0" w:line="276" w:lineRule="auto"/>
        <w:rPr>
          <w:rFonts w:ascii="Calibri" w:hAnsi="Calibri" w:cs="Calibri"/>
        </w:rPr>
      </w:pPr>
      <w:r>
        <w:rPr>
          <w:rFonts w:ascii="Calibri" w:hAnsi="Calibri" w:cs="Calibri"/>
        </w:rPr>
        <w:t>Member equity</w:t>
      </w:r>
    </w:p>
    <w:p w14:paraId="243A72B8" w14:textId="77777777" w:rsidR="003A103D" w:rsidRDefault="003A103D" w:rsidP="006A12C5">
      <w:pPr>
        <w:numPr>
          <w:ilvl w:val="1"/>
          <w:numId w:val="7"/>
        </w:numPr>
        <w:spacing w:after="0" w:line="276" w:lineRule="auto"/>
        <w:rPr>
          <w:rFonts w:ascii="Calibri" w:hAnsi="Calibri" w:cs="Calibri"/>
        </w:rPr>
      </w:pPr>
      <w:r w:rsidRPr="00F91026">
        <w:rPr>
          <w:rFonts w:ascii="Calibri" w:hAnsi="Calibri" w:cs="Calibri"/>
        </w:rPr>
        <w:t>Risk metrics.</w:t>
      </w:r>
    </w:p>
    <w:p w14:paraId="7C4B0225" w14:textId="77777777" w:rsidR="00FB3B6E" w:rsidRPr="00F91026" w:rsidRDefault="00FB3B6E" w:rsidP="00FB3B6E">
      <w:pPr>
        <w:spacing w:after="0" w:line="276" w:lineRule="auto"/>
        <w:ind w:left="1440"/>
        <w:rPr>
          <w:rFonts w:ascii="Calibri" w:hAnsi="Calibri" w:cs="Calibri"/>
        </w:rPr>
      </w:pPr>
    </w:p>
    <w:p w14:paraId="5A913C01" w14:textId="5C98F9C7" w:rsidR="003A103D" w:rsidRPr="00F91026" w:rsidRDefault="00857C15" w:rsidP="006A12C5">
      <w:pPr>
        <w:spacing w:after="0" w:line="276" w:lineRule="auto"/>
        <w:rPr>
          <w:rFonts w:ascii="Calibri" w:hAnsi="Calibri" w:cs="Calibri"/>
        </w:rPr>
      </w:pPr>
      <w:r>
        <w:rPr>
          <w:rFonts w:ascii="Calibri" w:hAnsi="Calibri" w:cs="Calibri"/>
        </w:rPr>
        <w:t xml:space="preserve">At each Board meeting, the Chair of the Committee shall </w:t>
      </w:r>
      <w:r w:rsidR="00FB3B6E">
        <w:rPr>
          <w:rFonts w:ascii="Calibri" w:hAnsi="Calibri" w:cs="Calibri"/>
        </w:rPr>
        <w:t>p</w:t>
      </w:r>
      <w:r w:rsidR="003A103D" w:rsidRPr="00F91026">
        <w:rPr>
          <w:rFonts w:ascii="Calibri" w:hAnsi="Calibri" w:cs="Calibri"/>
        </w:rPr>
        <w:t>rovide assurance to the Board that treasury activities are appropriately controlled and aligned with strategy.</w:t>
      </w:r>
    </w:p>
    <w:p w14:paraId="795AB371" w14:textId="77777777" w:rsidR="003A103D" w:rsidRPr="00F91026" w:rsidRDefault="003A103D" w:rsidP="006A12C5">
      <w:pPr>
        <w:spacing w:after="0" w:line="276" w:lineRule="auto"/>
        <w:rPr>
          <w:rFonts w:ascii="Calibri" w:hAnsi="Calibri" w:cs="Calibri"/>
        </w:rPr>
      </w:pPr>
    </w:p>
    <w:p w14:paraId="32B6C2D0" w14:textId="77777777" w:rsidR="003A103D" w:rsidRPr="00F91026" w:rsidRDefault="003A103D" w:rsidP="006A12C5">
      <w:pPr>
        <w:spacing w:after="0" w:line="276" w:lineRule="auto"/>
        <w:rPr>
          <w:rFonts w:ascii="Calibri" w:hAnsi="Calibri" w:cs="Calibri"/>
        </w:rPr>
      </w:pPr>
    </w:p>
    <w:p w14:paraId="3ECA1FC6" w14:textId="7C68E146" w:rsidR="007D0317" w:rsidRPr="00F91026" w:rsidRDefault="004B210C" w:rsidP="006A12C5">
      <w:pPr>
        <w:pStyle w:val="Title"/>
        <w:spacing w:after="0" w:line="276" w:lineRule="auto"/>
        <w:contextualSpacing w:val="0"/>
        <w:rPr>
          <w:rFonts w:ascii="Calibri" w:hAnsi="Calibri" w:cs="Calibri"/>
          <w:b/>
          <w:bCs/>
          <w:sz w:val="24"/>
          <w:szCs w:val="24"/>
        </w:rPr>
      </w:pPr>
      <w:r w:rsidRPr="00F91026">
        <w:rPr>
          <w:rFonts w:ascii="Calibri" w:hAnsi="Calibri" w:cs="Calibri"/>
          <w:b/>
          <w:bCs/>
          <w:sz w:val="24"/>
          <w:szCs w:val="24"/>
        </w:rPr>
        <w:t>5</w:t>
      </w:r>
      <w:r w:rsidR="007D0317" w:rsidRPr="00F91026">
        <w:rPr>
          <w:rFonts w:ascii="Calibri" w:hAnsi="Calibri" w:cs="Calibri"/>
          <w:b/>
          <w:bCs/>
          <w:sz w:val="24"/>
          <w:szCs w:val="24"/>
        </w:rPr>
        <w:t>.</w:t>
      </w:r>
      <w:r w:rsidR="007D0317" w:rsidRPr="00F91026">
        <w:rPr>
          <w:rFonts w:ascii="Calibri" w:hAnsi="Calibri" w:cs="Calibri"/>
          <w:b/>
          <w:bCs/>
          <w:sz w:val="24"/>
          <w:szCs w:val="24"/>
        </w:rPr>
        <w:tab/>
        <w:t>External Advisers</w:t>
      </w:r>
    </w:p>
    <w:p w14:paraId="6D0A609A" w14:textId="39CCA0C6" w:rsidR="007D0317" w:rsidRPr="00F91026" w:rsidRDefault="007D0317" w:rsidP="004B210C">
      <w:pPr>
        <w:pStyle w:val="Title"/>
        <w:spacing w:after="0" w:line="276" w:lineRule="auto"/>
        <w:contextualSpacing w:val="0"/>
        <w:rPr>
          <w:rFonts w:ascii="Calibri" w:hAnsi="Calibri" w:cs="Calibri"/>
          <w:b/>
          <w:bCs/>
          <w:sz w:val="24"/>
          <w:szCs w:val="24"/>
        </w:rPr>
      </w:pPr>
      <w:r w:rsidRPr="00F91026">
        <w:rPr>
          <w:rFonts w:ascii="Calibri" w:hAnsi="Calibri" w:cs="Calibri"/>
          <w:sz w:val="24"/>
          <w:szCs w:val="24"/>
        </w:rPr>
        <w:t xml:space="preserve">The Committee </w:t>
      </w:r>
      <w:r w:rsidR="004B210C" w:rsidRPr="00F91026">
        <w:rPr>
          <w:rFonts w:ascii="Calibri" w:hAnsi="Calibri" w:cs="Calibri"/>
          <w:sz w:val="24"/>
          <w:szCs w:val="24"/>
        </w:rPr>
        <w:t>is</w:t>
      </w:r>
      <w:r w:rsidRPr="00F91026">
        <w:rPr>
          <w:rFonts w:ascii="Calibri" w:hAnsi="Calibri" w:cs="Calibri"/>
          <w:sz w:val="24"/>
          <w:szCs w:val="24"/>
        </w:rPr>
        <w:t xml:space="preserve"> empowered to appoint independent external advisers to advise the Committee on matters relating to its remit.</w:t>
      </w:r>
    </w:p>
    <w:p w14:paraId="4228E8C2" w14:textId="77777777" w:rsidR="007D0317" w:rsidRPr="00F91026" w:rsidRDefault="007D0317" w:rsidP="006A12C5">
      <w:pPr>
        <w:pStyle w:val="Title"/>
        <w:spacing w:after="0" w:line="276" w:lineRule="auto"/>
        <w:contextualSpacing w:val="0"/>
        <w:rPr>
          <w:rFonts w:ascii="Calibri" w:hAnsi="Calibri" w:cs="Calibri"/>
          <w:b/>
          <w:bCs/>
          <w:sz w:val="24"/>
          <w:szCs w:val="24"/>
        </w:rPr>
      </w:pPr>
    </w:p>
    <w:p w14:paraId="1A726747" w14:textId="77777777" w:rsidR="004B210C" w:rsidRPr="00F91026" w:rsidRDefault="004B210C" w:rsidP="004B210C">
      <w:pPr>
        <w:rPr>
          <w:rFonts w:ascii="Calibri" w:hAnsi="Calibri" w:cs="Calibri"/>
        </w:rPr>
      </w:pPr>
    </w:p>
    <w:p w14:paraId="36763B36" w14:textId="77B93604" w:rsidR="007D0317" w:rsidRPr="00F91026" w:rsidRDefault="004B210C" w:rsidP="006A12C5">
      <w:pPr>
        <w:pStyle w:val="Title"/>
        <w:spacing w:after="0" w:line="276" w:lineRule="auto"/>
        <w:contextualSpacing w:val="0"/>
        <w:rPr>
          <w:rFonts w:ascii="Calibri" w:hAnsi="Calibri" w:cs="Calibri"/>
          <w:b/>
          <w:bCs/>
          <w:sz w:val="24"/>
          <w:szCs w:val="24"/>
        </w:rPr>
      </w:pPr>
      <w:r w:rsidRPr="00F91026">
        <w:rPr>
          <w:rFonts w:ascii="Calibri" w:hAnsi="Calibri" w:cs="Calibri"/>
          <w:b/>
          <w:bCs/>
          <w:sz w:val="24"/>
          <w:szCs w:val="24"/>
        </w:rPr>
        <w:t>6.</w:t>
      </w:r>
      <w:r w:rsidR="007D0317" w:rsidRPr="00F91026">
        <w:rPr>
          <w:rFonts w:ascii="Calibri" w:hAnsi="Calibri" w:cs="Calibri"/>
          <w:b/>
          <w:bCs/>
          <w:sz w:val="24"/>
          <w:szCs w:val="24"/>
        </w:rPr>
        <w:tab/>
        <w:t>Meetings</w:t>
      </w:r>
    </w:p>
    <w:p w14:paraId="1C007B6A" w14:textId="403F6417" w:rsidR="007D0317" w:rsidRDefault="007D0317" w:rsidP="004B210C">
      <w:pPr>
        <w:pStyle w:val="Title"/>
        <w:spacing w:after="0" w:line="276" w:lineRule="auto"/>
        <w:contextualSpacing w:val="0"/>
        <w:rPr>
          <w:rFonts w:ascii="Calibri" w:hAnsi="Calibri" w:cs="Calibri"/>
          <w:sz w:val="24"/>
          <w:szCs w:val="24"/>
        </w:rPr>
      </w:pPr>
      <w:r w:rsidRPr="00F91026">
        <w:rPr>
          <w:rFonts w:ascii="Calibri" w:hAnsi="Calibri" w:cs="Calibri"/>
          <w:sz w:val="24"/>
          <w:szCs w:val="24"/>
        </w:rPr>
        <w:t xml:space="preserve">The Committee shall meet at least </w:t>
      </w:r>
      <w:r w:rsidR="003A103D" w:rsidRPr="00F91026">
        <w:rPr>
          <w:rFonts w:ascii="Calibri" w:hAnsi="Calibri" w:cs="Calibri"/>
          <w:sz w:val="24"/>
          <w:szCs w:val="24"/>
        </w:rPr>
        <w:t xml:space="preserve">once </w:t>
      </w:r>
      <w:r w:rsidR="00771166" w:rsidRPr="00F91026">
        <w:rPr>
          <w:rFonts w:ascii="Calibri" w:hAnsi="Calibri" w:cs="Calibri"/>
          <w:sz w:val="24"/>
          <w:szCs w:val="24"/>
        </w:rPr>
        <w:t>a month</w:t>
      </w:r>
      <w:r w:rsidR="003A103D" w:rsidRPr="00F91026">
        <w:rPr>
          <w:rFonts w:ascii="Calibri" w:hAnsi="Calibri" w:cs="Calibri"/>
          <w:sz w:val="24"/>
          <w:szCs w:val="24"/>
        </w:rPr>
        <w:t>, and more frequently if this is felt warranted.</w:t>
      </w:r>
      <w:r w:rsidR="00FB3B6E">
        <w:rPr>
          <w:rFonts w:ascii="Calibri" w:hAnsi="Calibri" w:cs="Calibri"/>
          <w:sz w:val="24"/>
          <w:szCs w:val="24"/>
        </w:rPr>
        <w:t xml:space="preserve">  Papers will be issued in advance of each meeting. </w:t>
      </w:r>
    </w:p>
    <w:p w14:paraId="62FD804D" w14:textId="77777777" w:rsidR="008C5D7E" w:rsidRDefault="008C5D7E" w:rsidP="008C5D7E"/>
    <w:p w14:paraId="74B6180A" w14:textId="0B5488F7" w:rsidR="008C5D7E" w:rsidRPr="008C5D7E" w:rsidRDefault="008C5D7E" w:rsidP="008C5D7E">
      <w:r>
        <w:t>Meetings can be in-person or online.</w:t>
      </w:r>
    </w:p>
    <w:p w14:paraId="598B5BE9" w14:textId="77777777" w:rsidR="007D0317" w:rsidRPr="00F91026" w:rsidRDefault="007D0317" w:rsidP="006A12C5">
      <w:pPr>
        <w:pStyle w:val="Title"/>
        <w:spacing w:after="0" w:line="276" w:lineRule="auto"/>
        <w:ind w:left="720"/>
        <w:contextualSpacing w:val="0"/>
        <w:rPr>
          <w:rFonts w:ascii="Calibri" w:hAnsi="Calibri" w:cs="Calibri"/>
          <w:b/>
          <w:bCs/>
          <w:sz w:val="24"/>
          <w:szCs w:val="24"/>
        </w:rPr>
      </w:pPr>
    </w:p>
    <w:p w14:paraId="5251E1A5" w14:textId="138A5261" w:rsidR="007D0317" w:rsidRPr="00F91026" w:rsidRDefault="008C5D7E" w:rsidP="008515AC">
      <w:pPr>
        <w:pStyle w:val="Title"/>
        <w:spacing w:after="0" w:line="276" w:lineRule="auto"/>
        <w:contextualSpacing w:val="0"/>
        <w:rPr>
          <w:rFonts w:ascii="Calibri" w:hAnsi="Calibri" w:cs="Calibri"/>
          <w:sz w:val="24"/>
          <w:szCs w:val="24"/>
        </w:rPr>
      </w:pPr>
      <w:r>
        <w:rPr>
          <w:rFonts w:ascii="Calibri" w:hAnsi="Calibri" w:cs="Calibri"/>
          <w:sz w:val="24"/>
          <w:szCs w:val="24"/>
        </w:rPr>
        <w:t>Formal minutes of each Committee meeting will be prepared and m</w:t>
      </w:r>
      <w:r w:rsidR="007D0317" w:rsidRPr="00F91026">
        <w:rPr>
          <w:rFonts w:ascii="Calibri" w:hAnsi="Calibri" w:cs="Calibri"/>
          <w:sz w:val="24"/>
          <w:szCs w:val="24"/>
        </w:rPr>
        <w:t>inutes shall be circulated to all members of the Board.</w:t>
      </w:r>
    </w:p>
    <w:p w14:paraId="2A4A5547" w14:textId="77777777" w:rsidR="007D0317" w:rsidRPr="00F91026" w:rsidRDefault="007D0317" w:rsidP="006A12C5">
      <w:pPr>
        <w:pStyle w:val="Title"/>
        <w:spacing w:after="0" w:line="276" w:lineRule="auto"/>
        <w:contextualSpacing w:val="0"/>
        <w:rPr>
          <w:rFonts w:ascii="Calibri" w:hAnsi="Calibri" w:cs="Calibri"/>
          <w:b/>
          <w:bCs/>
          <w:sz w:val="24"/>
          <w:szCs w:val="24"/>
        </w:rPr>
      </w:pPr>
    </w:p>
    <w:p w14:paraId="00B65293" w14:textId="77777777" w:rsidR="007D0317" w:rsidRPr="00F91026" w:rsidRDefault="007D0317" w:rsidP="006A12C5">
      <w:pPr>
        <w:pStyle w:val="Title"/>
        <w:spacing w:after="0" w:line="276" w:lineRule="auto"/>
        <w:contextualSpacing w:val="0"/>
        <w:rPr>
          <w:rFonts w:ascii="Calibri" w:hAnsi="Calibri" w:cs="Calibri"/>
          <w:b/>
          <w:bCs/>
          <w:sz w:val="24"/>
          <w:szCs w:val="24"/>
        </w:rPr>
      </w:pPr>
    </w:p>
    <w:p w14:paraId="6D8A7358" w14:textId="750C0845" w:rsidR="007D0317" w:rsidRPr="00F91026" w:rsidRDefault="008515AC" w:rsidP="006A12C5">
      <w:pPr>
        <w:pStyle w:val="Title"/>
        <w:spacing w:after="0" w:line="276" w:lineRule="auto"/>
        <w:contextualSpacing w:val="0"/>
        <w:rPr>
          <w:rFonts w:ascii="Calibri" w:hAnsi="Calibri" w:cs="Calibri"/>
          <w:b/>
          <w:bCs/>
          <w:sz w:val="24"/>
          <w:szCs w:val="24"/>
        </w:rPr>
      </w:pPr>
      <w:r w:rsidRPr="00F91026">
        <w:rPr>
          <w:rFonts w:ascii="Calibri" w:hAnsi="Calibri" w:cs="Calibri"/>
          <w:b/>
          <w:bCs/>
          <w:sz w:val="24"/>
          <w:szCs w:val="24"/>
        </w:rPr>
        <w:t>7</w:t>
      </w:r>
      <w:r w:rsidR="007D0317" w:rsidRPr="00F91026">
        <w:rPr>
          <w:rFonts w:ascii="Calibri" w:hAnsi="Calibri" w:cs="Calibri"/>
          <w:b/>
          <w:bCs/>
          <w:sz w:val="24"/>
          <w:szCs w:val="24"/>
        </w:rPr>
        <w:t>.</w:t>
      </w:r>
      <w:r w:rsidR="007D0317" w:rsidRPr="00F91026">
        <w:rPr>
          <w:rFonts w:ascii="Calibri" w:hAnsi="Calibri" w:cs="Calibri"/>
          <w:b/>
          <w:bCs/>
          <w:sz w:val="24"/>
          <w:szCs w:val="24"/>
        </w:rPr>
        <w:tab/>
        <w:t>Attendees</w:t>
      </w:r>
    </w:p>
    <w:p w14:paraId="3E4C0D1B" w14:textId="3FCAFED3" w:rsidR="007D0317" w:rsidRPr="00F91026" w:rsidRDefault="007D0317" w:rsidP="008515AC">
      <w:pPr>
        <w:pStyle w:val="Title"/>
        <w:spacing w:after="0" w:line="276" w:lineRule="auto"/>
        <w:contextualSpacing w:val="0"/>
        <w:rPr>
          <w:rFonts w:ascii="Calibri" w:hAnsi="Calibri" w:cs="Calibri"/>
          <w:b/>
          <w:bCs/>
          <w:sz w:val="24"/>
          <w:szCs w:val="24"/>
        </w:rPr>
      </w:pPr>
      <w:r w:rsidRPr="00F91026">
        <w:rPr>
          <w:rFonts w:ascii="Calibri" w:hAnsi="Calibri" w:cs="Calibri"/>
          <w:sz w:val="24"/>
          <w:szCs w:val="24"/>
        </w:rPr>
        <w:t>The C</w:t>
      </w:r>
      <w:r w:rsidR="003A103D" w:rsidRPr="00F91026">
        <w:rPr>
          <w:rFonts w:ascii="Calibri" w:hAnsi="Calibri" w:cs="Calibri"/>
          <w:sz w:val="24"/>
          <w:szCs w:val="24"/>
        </w:rPr>
        <w:t>hief Financial Officer shall have a standing invitation to attend Committee meetings.  Other members of management and external advisers may be invited on an as needs basis.</w:t>
      </w:r>
    </w:p>
    <w:p w14:paraId="7F9E50B6" w14:textId="069F89D2" w:rsidR="00850911" w:rsidRPr="00F91026" w:rsidRDefault="00850911" w:rsidP="006A12C5">
      <w:pPr>
        <w:widowControl w:val="0"/>
        <w:spacing w:after="0" w:line="276" w:lineRule="auto"/>
        <w:ind w:right="584"/>
        <w:rPr>
          <w:rFonts w:ascii="Calibri" w:hAnsi="Calibri" w:cs="Calibri"/>
        </w:rPr>
      </w:pPr>
    </w:p>
    <w:p w14:paraId="7F0D5B6A" w14:textId="77777777" w:rsidR="008515AC" w:rsidRPr="00F91026" w:rsidRDefault="008515AC" w:rsidP="006A12C5">
      <w:pPr>
        <w:widowControl w:val="0"/>
        <w:spacing w:after="0" w:line="276" w:lineRule="auto"/>
        <w:ind w:right="584"/>
        <w:rPr>
          <w:rFonts w:ascii="Calibri" w:hAnsi="Calibri" w:cs="Calibri"/>
        </w:rPr>
      </w:pPr>
    </w:p>
    <w:p w14:paraId="133AEC41" w14:textId="45CA0577" w:rsidR="003A103D" w:rsidRPr="00F91026" w:rsidRDefault="008515AC" w:rsidP="006A12C5">
      <w:pPr>
        <w:spacing w:after="0" w:line="276" w:lineRule="auto"/>
        <w:rPr>
          <w:rFonts w:ascii="Calibri" w:hAnsi="Calibri" w:cs="Calibri"/>
        </w:rPr>
      </w:pPr>
      <w:r w:rsidRPr="00F91026">
        <w:rPr>
          <w:rFonts w:ascii="Calibri" w:hAnsi="Calibri" w:cs="Calibri"/>
          <w:b/>
          <w:bCs/>
        </w:rPr>
        <w:t>8.</w:t>
      </w:r>
      <w:r w:rsidRPr="00F91026">
        <w:rPr>
          <w:rFonts w:ascii="Calibri" w:hAnsi="Calibri" w:cs="Calibri"/>
          <w:b/>
          <w:bCs/>
        </w:rPr>
        <w:tab/>
      </w:r>
      <w:r w:rsidR="003A103D" w:rsidRPr="00F91026">
        <w:rPr>
          <w:rFonts w:ascii="Calibri" w:hAnsi="Calibri" w:cs="Calibri"/>
          <w:b/>
          <w:bCs/>
        </w:rPr>
        <w:t>Review</w:t>
      </w:r>
    </w:p>
    <w:p w14:paraId="568638C7" w14:textId="76849021" w:rsidR="003A103D" w:rsidRPr="00F91026" w:rsidRDefault="003A103D" w:rsidP="008515AC">
      <w:pPr>
        <w:spacing w:after="0" w:line="276" w:lineRule="auto"/>
        <w:rPr>
          <w:rFonts w:ascii="Calibri" w:hAnsi="Calibri" w:cs="Calibri"/>
        </w:rPr>
      </w:pPr>
      <w:r w:rsidRPr="00F91026">
        <w:rPr>
          <w:rFonts w:ascii="Calibri" w:hAnsi="Calibri" w:cs="Calibri"/>
        </w:rPr>
        <w:t>These Terms of Reference will be reviewed annually by the Committee and the Board</w:t>
      </w:r>
      <w:r w:rsidR="00C15614" w:rsidRPr="00F91026">
        <w:rPr>
          <w:rFonts w:ascii="Calibri" w:hAnsi="Calibri" w:cs="Calibri"/>
        </w:rPr>
        <w:t>; changes to the terms require Board approval</w:t>
      </w:r>
      <w:r w:rsidRPr="00F91026">
        <w:rPr>
          <w:rFonts w:ascii="Calibri" w:hAnsi="Calibri" w:cs="Calibri"/>
        </w:rPr>
        <w:t>.</w:t>
      </w:r>
    </w:p>
    <w:p w14:paraId="7418A3EE" w14:textId="77777777" w:rsidR="00C15614" w:rsidRPr="00F91026" w:rsidRDefault="00C15614" w:rsidP="006A12C5">
      <w:pPr>
        <w:widowControl w:val="0"/>
        <w:spacing w:after="0" w:line="276" w:lineRule="auto"/>
        <w:ind w:right="584"/>
        <w:rPr>
          <w:rFonts w:ascii="Calibri" w:hAnsi="Calibri" w:cs="Calibri"/>
        </w:rPr>
      </w:pPr>
    </w:p>
    <w:p w14:paraId="29772BD0" w14:textId="7950B4BD" w:rsidR="00C15614" w:rsidRDefault="00C15614" w:rsidP="00C15614">
      <w:pPr>
        <w:widowControl w:val="0"/>
        <w:spacing w:after="0" w:line="276" w:lineRule="auto"/>
        <w:ind w:right="584"/>
        <w:jc w:val="center"/>
        <w:rPr>
          <w:rFonts w:ascii="Calibri" w:hAnsi="Calibri" w:cs="Calibri"/>
        </w:rPr>
      </w:pPr>
      <w:r w:rsidRPr="00F91026">
        <w:rPr>
          <w:rFonts w:ascii="Calibri" w:hAnsi="Calibri" w:cs="Calibri"/>
        </w:rPr>
        <w:t>__________  __  __  __________</w:t>
      </w:r>
    </w:p>
    <w:p w14:paraId="5FFC23B1" w14:textId="77777777" w:rsidR="00A6502A" w:rsidRDefault="00A6502A" w:rsidP="00A6502A">
      <w:pPr>
        <w:widowControl w:val="0"/>
        <w:spacing w:after="0" w:line="276" w:lineRule="auto"/>
        <w:ind w:right="584"/>
        <w:rPr>
          <w:rFonts w:ascii="Calibri" w:hAnsi="Calibri" w:cs="Calibri"/>
        </w:rPr>
      </w:pPr>
    </w:p>
    <w:p w14:paraId="5B1AF61C" w14:textId="77777777" w:rsidR="00A6502A" w:rsidRDefault="00A6502A" w:rsidP="00A6502A">
      <w:pPr>
        <w:widowControl w:val="0"/>
        <w:spacing w:after="0" w:line="276" w:lineRule="auto"/>
        <w:ind w:right="584"/>
        <w:rPr>
          <w:rFonts w:ascii="Calibri" w:hAnsi="Calibri" w:cs="Calibri"/>
        </w:rPr>
      </w:pPr>
    </w:p>
    <w:p w14:paraId="7203846E" w14:textId="77777777" w:rsidR="00A6502A" w:rsidRDefault="00A6502A" w:rsidP="00A6502A">
      <w:pPr>
        <w:widowControl w:val="0"/>
        <w:spacing w:after="0" w:line="276" w:lineRule="auto"/>
        <w:ind w:right="584"/>
        <w:rPr>
          <w:rFonts w:ascii="Calibri" w:hAnsi="Calibri" w:cs="Calibri"/>
        </w:rPr>
      </w:pPr>
    </w:p>
    <w:p w14:paraId="25135565" w14:textId="77777777" w:rsidR="008C5D7E" w:rsidRDefault="008C5D7E" w:rsidP="00A6502A">
      <w:pPr>
        <w:widowControl w:val="0"/>
        <w:spacing w:after="0" w:line="276" w:lineRule="auto"/>
        <w:ind w:right="584"/>
        <w:rPr>
          <w:rFonts w:ascii="Calibri" w:hAnsi="Calibri" w:cs="Calibri"/>
        </w:rPr>
      </w:pPr>
    </w:p>
    <w:p w14:paraId="6EB84962" w14:textId="77777777" w:rsidR="00A6502A" w:rsidRDefault="00A6502A" w:rsidP="00A6502A">
      <w:pPr>
        <w:widowControl w:val="0"/>
        <w:spacing w:after="0" w:line="276" w:lineRule="auto"/>
        <w:ind w:right="584"/>
        <w:rPr>
          <w:rFonts w:ascii="Calibri" w:hAnsi="Calibri" w:cs="Calibri"/>
        </w:rPr>
      </w:pPr>
    </w:p>
    <w:tbl>
      <w:tblPr>
        <w:tblStyle w:val="TableGrid"/>
        <w:tblW w:w="0" w:type="auto"/>
        <w:tblLook w:val="04A0" w:firstRow="1" w:lastRow="0" w:firstColumn="1" w:lastColumn="0" w:noHBand="0" w:noVBand="1"/>
      </w:tblPr>
      <w:tblGrid>
        <w:gridCol w:w="3005"/>
        <w:gridCol w:w="3005"/>
      </w:tblGrid>
      <w:tr w:rsidR="000A123C" w14:paraId="19F59B54" w14:textId="77777777">
        <w:tc>
          <w:tcPr>
            <w:tcW w:w="3005" w:type="dxa"/>
          </w:tcPr>
          <w:p w14:paraId="4712295B" w14:textId="21535237" w:rsidR="000A123C" w:rsidRDefault="000A123C" w:rsidP="00A6502A">
            <w:pPr>
              <w:widowControl w:val="0"/>
              <w:spacing w:line="276" w:lineRule="auto"/>
              <w:ind w:right="584"/>
              <w:rPr>
                <w:rFonts w:ascii="Calibri" w:hAnsi="Calibri" w:cs="Calibri"/>
              </w:rPr>
            </w:pPr>
            <w:r>
              <w:rPr>
                <w:rFonts w:ascii="Calibri" w:hAnsi="Calibri" w:cs="Calibri"/>
              </w:rPr>
              <w:lastRenderedPageBreak/>
              <w:t>Review date</w:t>
            </w:r>
          </w:p>
        </w:tc>
        <w:tc>
          <w:tcPr>
            <w:tcW w:w="3005" w:type="dxa"/>
          </w:tcPr>
          <w:p w14:paraId="1EC96F03" w14:textId="22A93ACA" w:rsidR="000A123C" w:rsidRDefault="000A123C" w:rsidP="00A6502A">
            <w:pPr>
              <w:widowControl w:val="0"/>
              <w:spacing w:line="276" w:lineRule="auto"/>
              <w:ind w:right="584"/>
              <w:rPr>
                <w:rFonts w:ascii="Calibri" w:hAnsi="Calibri" w:cs="Calibri"/>
              </w:rPr>
            </w:pPr>
            <w:r>
              <w:rPr>
                <w:rFonts w:ascii="Calibri" w:hAnsi="Calibri" w:cs="Calibri"/>
              </w:rPr>
              <w:t>Changes made – y/n</w:t>
            </w:r>
          </w:p>
        </w:tc>
      </w:tr>
      <w:tr w:rsidR="000A123C" w14:paraId="14BB927B" w14:textId="77777777">
        <w:tc>
          <w:tcPr>
            <w:tcW w:w="3005" w:type="dxa"/>
          </w:tcPr>
          <w:p w14:paraId="7E54A893" w14:textId="4282E681" w:rsidR="000A123C" w:rsidRDefault="000A123C" w:rsidP="00A6502A">
            <w:pPr>
              <w:widowControl w:val="0"/>
              <w:spacing w:line="276" w:lineRule="auto"/>
              <w:ind w:right="584"/>
              <w:rPr>
                <w:rFonts w:ascii="Calibri" w:hAnsi="Calibri" w:cs="Calibri"/>
              </w:rPr>
            </w:pPr>
            <w:r>
              <w:rPr>
                <w:rFonts w:ascii="Calibri" w:hAnsi="Calibri" w:cs="Calibri"/>
              </w:rPr>
              <w:t>26.7.25</w:t>
            </w:r>
          </w:p>
        </w:tc>
        <w:tc>
          <w:tcPr>
            <w:tcW w:w="3005" w:type="dxa"/>
          </w:tcPr>
          <w:p w14:paraId="10D3FF0C" w14:textId="1485C7F9" w:rsidR="000A123C" w:rsidRDefault="000A123C" w:rsidP="00A6502A">
            <w:pPr>
              <w:widowControl w:val="0"/>
              <w:spacing w:line="276" w:lineRule="auto"/>
              <w:ind w:right="584"/>
              <w:rPr>
                <w:rFonts w:ascii="Calibri" w:hAnsi="Calibri" w:cs="Calibri"/>
              </w:rPr>
            </w:pPr>
            <w:r>
              <w:rPr>
                <w:rFonts w:ascii="Calibri" w:hAnsi="Calibri" w:cs="Calibri"/>
              </w:rPr>
              <w:t>y</w:t>
            </w:r>
          </w:p>
        </w:tc>
      </w:tr>
      <w:tr w:rsidR="000A123C" w14:paraId="0CA02210" w14:textId="77777777">
        <w:tc>
          <w:tcPr>
            <w:tcW w:w="3005" w:type="dxa"/>
          </w:tcPr>
          <w:p w14:paraId="7AEF3898" w14:textId="77777777" w:rsidR="000A123C" w:rsidRDefault="000A123C" w:rsidP="00A6502A">
            <w:pPr>
              <w:widowControl w:val="0"/>
              <w:spacing w:line="276" w:lineRule="auto"/>
              <w:ind w:right="584"/>
              <w:rPr>
                <w:rFonts w:ascii="Calibri" w:hAnsi="Calibri" w:cs="Calibri"/>
              </w:rPr>
            </w:pPr>
          </w:p>
        </w:tc>
        <w:tc>
          <w:tcPr>
            <w:tcW w:w="3005" w:type="dxa"/>
          </w:tcPr>
          <w:p w14:paraId="465B1D19" w14:textId="77777777" w:rsidR="000A123C" w:rsidRDefault="000A123C" w:rsidP="00A6502A">
            <w:pPr>
              <w:widowControl w:val="0"/>
              <w:spacing w:line="276" w:lineRule="auto"/>
              <w:ind w:right="584"/>
              <w:rPr>
                <w:rFonts w:ascii="Calibri" w:hAnsi="Calibri" w:cs="Calibri"/>
              </w:rPr>
            </w:pPr>
          </w:p>
        </w:tc>
      </w:tr>
      <w:tr w:rsidR="000A123C" w14:paraId="0FD99502" w14:textId="77777777">
        <w:tc>
          <w:tcPr>
            <w:tcW w:w="3005" w:type="dxa"/>
          </w:tcPr>
          <w:p w14:paraId="7647826C" w14:textId="77777777" w:rsidR="000A123C" w:rsidRDefault="000A123C" w:rsidP="00A6502A">
            <w:pPr>
              <w:widowControl w:val="0"/>
              <w:spacing w:line="276" w:lineRule="auto"/>
              <w:ind w:right="584"/>
              <w:rPr>
                <w:rFonts w:ascii="Calibri" w:hAnsi="Calibri" w:cs="Calibri"/>
              </w:rPr>
            </w:pPr>
          </w:p>
        </w:tc>
        <w:tc>
          <w:tcPr>
            <w:tcW w:w="3005" w:type="dxa"/>
          </w:tcPr>
          <w:p w14:paraId="3063556F" w14:textId="77777777" w:rsidR="000A123C" w:rsidRDefault="000A123C" w:rsidP="00A6502A">
            <w:pPr>
              <w:widowControl w:val="0"/>
              <w:spacing w:line="276" w:lineRule="auto"/>
              <w:ind w:right="584"/>
              <w:rPr>
                <w:rFonts w:ascii="Calibri" w:hAnsi="Calibri" w:cs="Calibri"/>
              </w:rPr>
            </w:pPr>
          </w:p>
        </w:tc>
      </w:tr>
    </w:tbl>
    <w:p w14:paraId="7EF96C23" w14:textId="77777777" w:rsidR="00A6502A" w:rsidRPr="00F91026" w:rsidRDefault="00A6502A" w:rsidP="00A6502A">
      <w:pPr>
        <w:widowControl w:val="0"/>
        <w:spacing w:after="0" w:line="276" w:lineRule="auto"/>
        <w:ind w:right="584"/>
        <w:rPr>
          <w:rFonts w:ascii="Calibri" w:hAnsi="Calibri" w:cs="Calibri"/>
        </w:rPr>
      </w:pPr>
    </w:p>
    <w:sectPr w:rsidR="00A6502A" w:rsidRPr="00F910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AF38" w14:textId="77777777" w:rsidR="00D60DF2" w:rsidRDefault="00D60DF2" w:rsidP="00C15614">
      <w:pPr>
        <w:spacing w:after="0" w:line="240" w:lineRule="auto"/>
      </w:pPr>
      <w:r>
        <w:separator/>
      </w:r>
    </w:p>
  </w:endnote>
  <w:endnote w:type="continuationSeparator" w:id="0">
    <w:p w14:paraId="6CB2A674" w14:textId="77777777" w:rsidR="00D60DF2" w:rsidRDefault="00D60DF2" w:rsidP="00C1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0AC2" w14:textId="41E7EEAA" w:rsidR="00C15614" w:rsidRPr="00C15614" w:rsidRDefault="00C15614" w:rsidP="00C15614">
    <w:pPr>
      <w:pStyle w:val="Footer"/>
    </w:pPr>
    <w:r w:rsidRPr="00C15614">
      <w:t xml:space="preserve">Treasury Committee – Terms of Reference </w:t>
    </w:r>
    <w:r w:rsidRPr="00C15614">
      <w:tab/>
    </w:r>
    <w:r w:rsidRPr="00C15614">
      <w:tab/>
    </w:r>
    <w:sdt>
      <w:sdtPr>
        <w:id w:val="515423552"/>
        <w:docPartObj>
          <w:docPartGallery w:val="Page Numbers (Bottom of Page)"/>
          <w:docPartUnique/>
        </w:docPartObj>
      </w:sdtPr>
      <w:sdtContent>
        <w:sdt>
          <w:sdtPr>
            <w:id w:val="-1769616900"/>
            <w:docPartObj>
              <w:docPartGallery w:val="Page Numbers (Top of Page)"/>
              <w:docPartUnique/>
            </w:docPartObj>
          </w:sdtPr>
          <w:sdtContent>
            <w:r w:rsidRPr="00C15614">
              <w:t xml:space="preserve">Page </w:t>
            </w:r>
            <w:r w:rsidRPr="00C15614">
              <w:fldChar w:fldCharType="begin"/>
            </w:r>
            <w:r w:rsidRPr="00C15614">
              <w:instrText>PAGE</w:instrText>
            </w:r>
            <w:r w:rsidRPr="00C15614">
              <w:fldChar w:fldCharType="separate"/>
            </w:r>
            <w:r w:rsidRPr="00C15614">
              <w:t>2</w:t>
            </w:r>
            <w:r w:rsidRPr="00C15614">
              <w:fldChar w:fldCharType="end"/>
            </w:r>
            <w:r w:rsidRPr="00C15614">
              <w:t xml:space="preserve"> of </w:t>
            </w:r>
            <w:r w:rsidRPr="00C15614">
              <w:fldChar w:fldCharType="begin"/>
            </w:r>
            <w:r w:rsidRPr="00C15614">
              <w:instrText>NUMPAGES</w:instrText>
            </w:r>
            <w:r w:rsidRPr="00C15614">
              <w:fldChar w:fldCharType="separate"/>
            </w:r>
            <w:r w:rsidRPr="00C15614">
              <w:t>2</w:t>
            </w:r>
            <w:r w:rsidRPr="00C15614">
              <w:fldChar w:fldCharType="end"/>
            </w:r>
          </w:sdtContent>
        </w:sdt>
      </w:sdtContent>
    </w:sdt>
  </w:p>
  <w:p w14:paraId="6B04A529" w14:textId="77777777" w:rsidR="00C15614" w:rsidRDefault="00C15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D117" w14:textId="77777777" w:rsidR="00D60DF2" w:rsidRDefault="00D60DF2" w:rsidP="00C15614">
      <w:pPr>
        <w:spacing w:after="0" w:line="240" w:lineRule="auto"/>
      </w:pPr>
      <w:r>
        <w:separator/>
      </w:r>
    </w:p>
  </w:footnote>
  <w:footnote w:type="continuationSeparator" w:id="0">
    <w:p w14:paraId="0FCC55A7" w14:textId="77777777" w:rsidR="00D60DF2" w:rsidRDefault="00D60DF2" w:rsidP="00C15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92E"/>
    <w:multiLevelType w:val="multilevel"/>
    <w:tmpl w:val="1E8A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39F7"/>
    <w:multiLevelType w:val="hybridMultilevel"/>
    <w:tmpl w:val="E402D7BE"/>
    <w:lvl w:ilvl="0" w:tplc="0F520890">
      <w:start w:val="1"/>
      <w:numFmt w:val="decimal"/>
      <w:lvlText w:val=".%1"/>
      <w:lvlJc w:val="left"/>
      <w:pPr>
        <w:ind w:left="1561" w:hanging="721"/>
      </w:pPr>
      <w:rPr>
        <w:rFonts w:ascii="Arial" w:eastAsia="Arial" w:hAnsi="Arial" w:cs="Arial" w:hint="default"/>
        <w:spacing w:val="-7"/>
        <w:w w:val="99"/>
        <w:sz w:val="24"/>
        <w:szCs w:val="24"/>
      </w:rPr>
    </w:lvl>
    <w:lvl w:ilvl="1" w:tplc="FDFA0926">
      <w:start w:val="1"/>
      <w:numFmt w:val="bullet"/>
      <w:lvlText w:val="•"/>
      <w:lvlJc w:val="left"/>
      <w:pPr>
        <w:ind w:left="2280" w:hanging="721"/>
      </w:pPr>
      <w:rPr>
        <w:rFonts w:hint="default"/>
      </w:rPr>
    </w:lvl>
    <w:lvl w:ilvl="2" w:tplc="45622550">
      <w:start w:val="1"/>
      <w:numFmt w:val="bullet"/>
      <w:lvlText w:val="•"/>
      <w:lvlJc w:val="left"/>
      <w:pPr>
        <w:ind w:left="3001" w:hanging="721"/>
      </w:pPr>
      <w:rPr>
        <w:rFonts w:hint="default"/>
      </w:rPr>
    </w:lvl>
    <w:lvl w:ilvl="3" w:tplc="DF4E527C">
      <w:start w:val="1"/>
      <w:numFmt w:val="bullet"/>
      <w:lvlText w:val="•"/>
      <w:lvlJc w:val="left"/>
      <w:pPr>
        <w:ind w:left="3721" w:hanging="721"/>
      </w:pPr>
      <w:rPr>
        <w:rFonts w:hint="default"/>
      </w:rPr>
    </w:lvl>
    <w:lvl w:ilvl="4" w:tplc="DF30D146">
      <w:start w:val="1"/>
      <w:numFmt w:val="bullet"/>
      <w:lvlText w:val="•"/>
      <w:lvlJc w:val="left"/>
      <w:pPr>
        <w:ind w:left="4442" w:hanging="721"/>
      </w:pPr>
      <w:rPr>
        <w:rFonts w:hint="default"/>
      </w:rPr>
    </w:lvl>
    <w:lvl w:ilvl="5" w:tplc="03D09894">
      <w:start w:val="1"/>
      <w:numFmt w:val="bullet"/>
      <w:lvlText w:val="•"/>
      <w:lvlJc w:val="left"/>
      <w:pPr>
        <w:ind w:left="5162" w:hanging="721"/>
      </w:pPr>
      <w:rPr>
        <w:rFonts w:hint="default"/>
      </w:rPr>
    </w:lvl>
    <w:lvl w:ilvl="6" w:tplc="E4784BCA">
      <w:start w:val="1"/>
      <w:numFmt w:val="bullet"/>
      <w:lvlText w:val="•"/>
      <w:lvlJc w:val="left"/>
      <w:pPr>
        <w:ind w:left="5883" w:hanging="721"/>
      </w:pPr>
      <w:rPr>
        <w:rFonts w:hint="default"/>
      </w:rPr>
    </w:lvl>
    <w:lvl w:ilvl="7" w:tplc="16A65A34">
      <w:start w:val="1"/>
      <w:numFmt w:val="bullet"/>
      <w:lvlText w:val="•"/>
      <w:lvlJc w:val="left"/>
      <w:pPr>
        <w:ind w:left="6603" w:hanging="721"/>
      </w:pPr>
      <w:rPr>
        <w:rFonts w:hint="default"/>
      </w:rPr>
    </w:lvl>
    <w:lvl w:ilvl="8" w:tplc="FDDC649E">
      <w:start w:val="1"/>
      <w:numFmt w:val="bullet"/>
      <w:lvlText w:val="•"/>
      <w:lvlJc w:val="left"/>
      <w:pPr>
        <w:ind w:left="7324" w:hanging="721"/>
      </w:pPr>
      <w:rPr>
        <w:rFonts w:hint="default"/>
      </w:rPr>
    </w:lvl>
  </w:abstractNum>
  <w:abstractNum w:abstractNumId="2" w15:restartNumberingAfterBreak="0">
    <w:nsid w:val="096800A2"/>
    <w:multiLevelType w:val="multilevel"/>
    <w:tmpl w:val="EDC2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01296"/>
    <w:multiLevelType w:val="hybridMultilevel"/>
    <w:tmpl w:val="8356FD00"/>
    <w:lvl w:ilvl="0" w:tplc="621C2784">
      <w:start w:val="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0A46A9"/>
    <w:multiLevelType w:val="hybridMultilevel"/>
    <w:tmpl w:val="F01C05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F5F5C"/>
    <w:multiLevelType w:val="multilevel"/>
    <w:tmpl w:val="A1E67330"/>
    <w:lvl w:ilvl="0">
      <w:start w:val="1"/>
      <w:numFmt w:val="decimal"/>
      <w:lvlText w:val="%1."/>
      <w:lvlJc w:val="left"/>
      <w:pPr>
        <w:ind w:left="841" w:hanging="720"/>
      </w:pPr>
      <w:rPr>
        <w:rFonts w:ascii="Arial" w:eastAsia="Arial" w:hAnsi="Arial" w:cs="Arial" w:hint="default"/>
        <w:b/>
        <w:bCs/>
        <w:spacing w:val="0"/>
        <w:w w:val="99"/>
        <w:sz w:val="24"/>
        <w:szCs w:val="24"/>
      </w:rPr>
    </w:lvl>
    <w:lvl w:ilvl="1">
      <w:start w:val="1"/>
      <w:numFmt w:val="decimal"/>
      <w:lvlText w:val="%1.%2."/>
      <w:lvlJc w:val="left"/>
      <w:pPr>
        <w:ind w:left="841" w:hanging="720"/>
      </w:pPr>
      <w:rPr>
        <w:rFonts w:ascii="Arial" w:eastAsia="Arial" w:hAnsi="Arial" w:cs="Arial" w:hint="default"/>
        <w:spacing w:val="-2"/>
        <w:w w:val="99"/>
        <w:sz w:val="24"/>
        <w:szCs w:val="24"/>
      </w:rPr>
    </w:lvl>
    <w:lvl w:ilvl="2">
      <w:start w:val="1"/>
      <w:numFmt w:val="decimal"/>
      <w:lvlText w:val=".%3"/>
      <w:lvlJc w:val="left"/>
      <w:pPr>
        <w:ind w:left="1541" w:hanging="701"/>
      </w:pPr>
      <w:rPr>
        <w:rFonts w:ascii="Arial" w:eastAsia="Arial" w:hAnsi="Arial" w:cs="Arial" w:hint="default"/>
        <w:spacing w:val="-11"/>
        <w:w w:val="99"/>
        <w:sz w:val="24"/>
        <w:szCs w:val="24"/>
      </w:rPr>
    </w:lvl>
    <w:lvl w:ilvl="3">
      <w:start w:val="1"/>
      <w:numFmt w:val="lowerLetter"/>
      <w:lvlText w:val="(%4)"/>
      <w:lvlJc w:val="left"/>
      <w:pPr>
        <w:ind w:left="2281" w:hanging="720"/>
      </w:pPr>
      <w:rPr>
        <w:rFonts w:ascii="Arial" w:eastAsia="Arial" w:hAnsi="Arial" w:cs="Arial" w:hint="default"/>
        <w:spacing w:val="-4"/>
        <w:w w:val="99"/>
        <w:sz w:val="24"/>
        <w:szCs w:val="24"/>
      </w:rPr>
    </w:lvl>
    <w:lvl w:ilvl="4">
      <w:start w:val="1"/>
      <w:numFmt w:val="bullet"/>
      <w:lvlText w:val="•"/>
      <w:lvlJc w:val="left"/>
      <w:pPr>
        <w:ind w:left="3901" w:hanging="720"/>
      </w:pPr>
      <w:rPr>
        <w:rFonts w:hint="default"/>
      </w:rPr>
    </w:lvl>
    <w:lvl w:ilvl="5">
      <w:start w:val="1"/>
      <w:numFmt w:val="bullet"/>
      <w:lvlText w:val="•"/>
      <w:lvlJc w:val="left"/>
      <w:pPr>
        <w:ind w:left="4711" w:hanging="720"/>
      </w:pPr>
      <w:rPr>
        <w:rFonts w:hint="default"/>
      </w:rPr>
    </w:lvl>
    <w:lvl w:ilvl="6">
      <w:start w:val="1"/>
      <w:numFmt w:val="bullet"/>
      <w:lvlText w:val="•"/>
      <w:lvlJc w:val="left"/>
      <w:pPr>
        <w:ind w:left="5522" w:hanging="720"/>
      </w:pPr>
      <w:rPr>
        <w:rFonts w:hint="default"/>
      </w:rPr>
    </w:lvl>
    <w:lvl w:ilvl="7">
      <w:start w:val="1"/>
      <w:numFmt w:val="bullet"/>
      <w:lvlText w:val="•"/>
      <w:lvlJc w:val="left"/>
      <w:pPr>
        <w:ind w:left="6333" w:hanging="720"/>
      </w:pPr>
      <w:rPr>
        <w:rFonts w:hint="default"/>
      </w:rPr>
    </w:lvl>
    <w:lvl w:ilvl="8">
      <w:start w:val="1"/>
      <w:numFmt w:val="bullet"/>
      <w:lvlText w:val="•"/>
      <w:lvlJc w:val="left"/>
      <w:pPr>
        <w:ind w:left="7143" w:hanging="720"/>
      </w:pPr>
      <w:rPr>
        <w:rFonts w:hint="default"/>
      </w:rPr>
    </w:lvl>
  </w:abstractNum>
  <w:abstractNum w:abstractNumId="6" w15:restartNumberingAfterBreak="0">
    <w:nsid w:val="120E45ED"/>
    <w:multiLevelType w:val="multilevel"/>
    <w:tmpl w:val="81A621A4"/>
    <w:lvl w:ilvl="0">
      <w:start w:val="11"/>
      <w:numFmt w:val="decimal"/>
      <w:lvlText w:val="%1"/>
      <w:lvlJc w:val="left"/>
      <w:pPr>
        <w:ind w:left="841" w:hanging="720"/>
      </w:pPr>
      <w:rPr>
        <w:rFonts w:hint="default"/>
      </w:rPr>
    </w:lvl>
    <w:lvl w:ilvl="1">
      <w:start w:val="1"/>
      <w:numFmt w:val="decimal"/>
      <w:lvlText w:val="%1.%2"/>
      <w:lvlJc w:val="left"/>
      <w:pPr>
        <w:ind w:left="841" w:hanging="720"/>
      </w:pPr>
      <w:rPr>
        <w:rFonts w:ascii="Arial" w:eastAsia="Arial" w:hAnsi="Arial" w:cs="Arial" w:hint="default"/>
        <w:spacing w:val="-2"/>
        <w:w w:val="99"/>
        <w:sz w:val="24"/>
        <w:szCs w:val="24"/>
      </w:rPr>
    </w:lvl>
    <w:lvl w:ilvl="2">
      <w:start w:val="1"/>
      <w:numFmt w:val="decimal"/>
      <w:lvlText w:val=".%3"/>
      <w:lvlJc w:val="left"/>
      <w:pPr>
        <w:ind w:left="1561" w:hanging="721"/>
      </w:pPr>
      <w:rPr>
        <w:rFonts w:ascii="Arial" w:eastAsia="Arial" w:hAnsi="Arial" w:cs="Arial" w:hint="default"/>
        <w:spacing w:val="-7"/>
        <w:w w:val="99"/>
        <w:sz w:val="24"/>
        <w:szCs w:val="24"/>
      </w:rPr>
    </w:lvl>
    <w:lvl w:ilvl="3">
      <w:start w:val="1"/>
      <w:numFmt w:val="bullet"/>
      <w:lvlText w:val="•"/>
      <w:lvlJc w:val="left"/>
      <w:pPr>
        <w:ind w:left="3161" w:hanging="721"/>
      </w:pPr>
      <w:rPr>
        <w:rFonts w:hint="default"/>
      </w:rPr>
    </w:lvl>
    <w:lvl w:ilvl="4">
      <w:start w:val="1"/>
      <w:numFmt w:val="bullet"/>
      <w:lvlText w:val="•"/>
      <w:lvlJc w:val="left"/>
      <w:pPr>
        <w:ind w:left="3961" w:hanging="721"/>
      </w:pPr>
      <w:rPr>
        <w:rFonts w:hint="default"/>
      </w:rPr>
    </w:lvl>
    <w:lvl w:ilvl="5">
      <w:start w:val="1"/>
      <w:numFmt w:val="bullet"/>
      <w:lvlText w:val="•"/>
      <w:lvlJc w:val="left"/>
      <w:pPr>
        <w:ind w:left="4762" w:hanging="721"/>
      </w:pPr>
      <w:rPr>
        <w:rFonts w:hint="default"/>
      </w:rPr>
    </w:lvl>
    <w:lvl w:ilvl="6">
      <w:start w:val="1"/>
      <w:numFmt w:val="bullet"/>
      <w:lvlText w:val="•"/>
      <w:lvlJc w:val="left"/>
      <w:pPr>
        <w:ind w:left="5562" w:hanging="721"/>
      </w:pPr>
      <w:rPr>
        <w:rFonts w:hint="default"/>
      </w:rPr>
    </w:lvl>
    <w:lvl w:ilvl="7">
      <w:start w:val="1"/>
      <w:numFmt w:val="bullet"/>
      <w:lvlText w:val="•"/>
      <w:lvlJc w:val="left"/>
      <w:pPr>
        <w:ind w:left="6363" w:hanging="721"/>
      </w:pPr>
      <w:rPr>
        <w:rFonts w:hint="default"/>
      </w:rPr>
    </w:lvl>
    <w:lvl w:ilvl="8">
      <w:start w:val="1"/>
      <w:numFmt w:val="bullet"/>
      <w:lvlText w:val="•"/>
      <w:lvlJc w:val="left"/>
      <w:pPr>
        <w:ind w:left="7163" w:hanging="721"/>
      </w:pPr>
      <w:rPr>
        <w:rFonts w:hint="default"/>
      </w:rPr>
    </w:lvl>
  </w:abstractNum>
  <w:abstractNum w:abstractNumId="7" w15:restartNumberingAfterBreak="0">
    <w:nsid w:val="14F94752"/>
    <w:multiLevelType w:val="hybridMultilevel"/>
    <w:tmpl w:val="B6AA49A6"/>
    <w:lvl w:ilvl="0" w:tplc="B5F86D7C">
      <w:start w:val="1"/>
      <w:numFmt w:val="decimal"/>
      <w:lvlText w:val=".%1"/>
      <w:lvlJc w:val="left"/>
      <w:pPr>
        <w:ind w:left="1561" w:hanging="721"/>
      </w:pPr>
      <w:rPr>
        <w:rFonts w:ascii="Arial" w:eastAsia="Arial" w:hAnsi="Arial" w:cs="Arial" w:hint="default"/>
        <w:spacing w:val="-7"/>
        <w:w w:val="99"/>
        <w:sz w:val="24"/>
        <w:szCs w:val="24"/>
      </w:rPr>
    </w:lvl>
    <w:lvl w:ilvl="1" w:tplc="B1D279AE">
      <w:start w:val="1"/>
      <w:numFmt w:val="lowerLetter"/>
      <w:lvlText w:val="(%2)"/>
      <w:lvlJc w:val="left"/>
      <w:pPr>
        <w:ind w:left="2281" w:hanging="720"/>
      </w:pPr>
      <w:rPr>
        <w:rFonts w:ascii="Arial" w:eastAsia="Arial" w:hAnsi="Arial" w:cs="Arial" w:hint="default"/>
        <w:spacing w:val="-11"/>
        <w:w w:val="99"/>
        <w:sz w:val="24"/>
        <w:szCs w:val="24"/>
      </w:rPr>
    </w:lvl>
    <w:lvl w:ilvl="2" w:tplc="98903B70">
      <w:start w:val="1"/>
      <w:numFmt w:val="bullet"/>
      <w:lvlText w:val="•"/>
      <w:lvlJc w:val="left"/>
      <w:pPr>
        <w:ind w:left="3000" w:hanging="720"/>
      </w:pPr>
      <w:rPr>
        <w:rFonts w:hint="default"/>
      </w:rPr>
    </w:lvl>
    <w:lvl w:ilvl="3" w:tplc="9E48BB30">
      <w:start w:val="1"/>
      <w:numFmt w:val="bullet"/>
      <w:lvlText w:val="•"/>
      <w:lvlJc w:val="left"/>
      <w:pPr>
        <w:ind w:left="3721" w:hanging="720"/>
      </w:pPr>
      <w:rPr>
        <w:rFonts w:hint="default"/>
      </w:rPr>
    </w:lvl>
    <w:lvl w:ilvl="4" w:tplc="B28A0AC0">
      <w:start w:val="1"/>
      <w:numFmt w:val="bullet"/>
      <w:lvlText w:val="•"/>
      <w:lvlJc w:val="left"/>
      <w:pPr>
        <w:ind w:left="4441" w:hanging="720"/>
      </w:pPr>
      <w:rPr>
        <w:rFonts w:hint="default"/>
      </w:rPr>
    </w:lvl>
    <w:lvl w:ilvl="5" w:tplc="E9DE753E">
      <w:start w:val="1"/>
      <w:numFmt w:val="bullet"/>
      <w:lvlText w:val="•"/>
      <w:lvlJc w:val="left"/>
      <w:pPr>
        <w:ind w:left="5162" w:hanging="720"/>
      </w:pPr>
      <w:rPr>
        <w:rFonts w:hint="default"/>
      </w:rPr>
    </w:lvl>
    <w:lvl w:ilvl="6" w:tplc="4EBC136A">
      <w:start w:val="1"/>
      <w:numFmt w:val="bullet"/>
      <w:lvlText w:val="•"/>
      <w:lvlJc w:val="left"/>
      <w:pPr>
        <w:ind w:left="5882" w:hanging="720"/>
      </w:pPr>
      <w:rPr>
        <w:rFonts w:hint="default"/>
      </w:rPr>
    </w:lvl>
    <w:lvl w:ilvl="7" w:tplc="4BAEBC90">
      <w:start w:val="1"/>
      <w:numFmt w:val="bullet"/>
      <w:lvlText w:val="•"/>
      <w:lvlJc w:val="left"/>
      <w:pPr>
        <w:ind w:left="6603" w:hanging="720"/>
      </w:pPr>
      <w:rPr>
        <w:rFonts w:hint="default"/>
      </w:rPr>
    </w:lvl>
    <w:lvl w:ilvl="8" w:tplc="7040A47E">
      <w:start w:val="1"/>
      <w:numFmt w:val="bullet"/>
      <w:lvlText w:val="•"/>
      <w:lvlJc w:val="left"/>
      <w:pPr>
        <w:ind w:left="7323" w:hanging="720"/>
      </w:pPr>
      <w:rPr>
        <w:rFonts w:hint="default"/>
      </w:rPr>
    </w:lvl>
  </w:abstractNum>
  <w:abstractNum w:abstractNumId="8" w15:restartNumberingAfterBreak="0">
    <w:nsid w:val="17553D99"/>
    <w:multiLevelType w:val="multilevel"/>
    <w:tmpl w:val="B784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F5CA3"/>
    <w:multiLevelType w:val="hybridMultilevel"/>
    <w:tmpl w:val="E28A8CE6"/>
    <w:lvl w:ilvl="0" w:tplc="E4A4F7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D2795"/>
    <w:multiLevelType w:val="hybridMultilevel"/>
    <w:tmpl w:val="8A382C5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E507D"/>
    <w:multiLevelType w:val="hybridMultilevel"/>
    <w:tmpl w:val="12C445B0"/>
    <w:lvl w:ilvl="0" w:tplc="FB848EAC">
      <w:start w:val="1"/>
      <w:numFmt w:val="decimal"/>
      <w:lvlText w:val=".%1"/>
      <w:lvlJc w:val="left"/>
      <w:pPr>
        <w:ind w:left="1561" w:hanging="721"/>
      </w:pPr>
      <w:rPr>
        <w:rFonts w:ascii="Arial" w:eastAsia="Arial" w:hAnsi="Arial" w:cs="Arial" w:hint="default"/>
        <w:spacing w:val="-12"/>
        <w:w w:val="99"/>
        <w:sz w:val="24"/>
        <w:szCs w:val="24"/>
      </w:rPr>
    </w:lvl>
    <w:lvl w:ilvl="1" w:tplc="CA8CEC84">
      <w:start w:val="1"/>
      <w:numFmt w:val="bullet"/>
      <w:lvlText w:val="•"/>
      <w:lvlJc w:val="left"/>
      <w:pPr>
        <w:ind w:left="2280" w:hanging="721"/>
      </w:pPr>
      <w:rPr>
        <w:rFonts w:hint="default"/>
      </w:rPr>
    </w:lvl>
    <w:lvl w:ilvl="2" w:tplc="307C73DE">
      <w:start w:val="1"/>
      <w:numFmt w:val="bullet"/>
      <w:lvlText w:val="•"/>
      <w:lvlJc w:val="left"/>
      <w:pPr>
        <w:ind w:left="3001" w:hanging="721"/>
      </w:pPr>
      <w:rPr>
        <w:rFonts w:hint="default"/>
      </w:rPr>
    </w:lvl>
    <w:lvl w:ilvl="3" w:tplc="8C7CDD46">
      <w:start w:val="1"/>
      <w:numFmt w:val="bullet"/>
      <w:lvlText w:val="•"/>
      <w:lvlJc w:val="left"/>
      <w:pPr>
        <w:ind w:left="3721" w:hanging="721"/>
      </w:pPr>
      <w:rPr>
        <w:rFonts w:hint="default"/>
      </w:rPr>
    </w:lvl>
    <w:lvl w:ilvl="4" w:tplc="7B087D64">
      <w:start w:val="1"/>
      <w:numFmt w:val="bullet"/>
      <w:lvlText w:val="•"/>
      <w:lvlJc w:val="left"/>
      <w:pPr>
        <w:ind w:left="4442" w:hanging="721"/>
      </w:pPr>
      <w:rPr>
        <w:rFonts w:hint="default"/>
      </w:rPr>
    </w:lvl>
    <w:lvl w:ilvl="5" w:tplc="DFC671BC">
      <w:start w:val="1"/>
      <w:numFmt w:val="bullet"/>
      <w:lvlText w:val="•"/>
      <w:lvlJc w:val="left"/>
      <w:pPr>
        <w:ind w:left="5162" w:hanging="721"/>
      </w:pPr>
      <w:rPr>
        <w:rFonts w:hint="default"/>
      </w:rPr>
    </w:lvl>
    <w:lvl w:ilvl="6" w:tplc="C1241FA4">
      <w:start w:val="1"/>
      <w:numFmt w:val="bullet"/>
      <w:lvlText w:val="•"/>
      <w:lvlJc w:val="left"/>
      <w:pPr>
        <w:ind w:left="5883" w:hanging="721"/>
      </w:pPr>
      <w:rPr>
        <w:rFonts w:hint="default"/>
      </w:rPr>
    </w:lvl>
    <w:lvl w:ilvl="7" w:tplc="2EEEB248">
      <w:start w:val="1"/>
      <w:numFmt w:val="bullet"/>
      <w:lvlText w:val="•"/>
      <w:lvlJc w:val="left"/>
      <w:pPr>
        <w:ind w:left="6603" w:hanging="721"/>
      </w:pPr>
      <w:rPr>
        <w:rFonts w:hint="default"/>
      </w:rPr>
    </w:lvl>
    <w:lvl w:ilvl="8" w:tplc="084C9808">
      <w:start w:val="1"/>
      <w:numFmt w:val="bullet"/>
      <w:lvlText w:val="•"/>
      <w:lvlJc w:val="left"/>
      <w:pPr>
        <w:ind w:left="7324" w:hanging="721"/>
      </w:pPr>
      <w:rPr>
        <w:rFonts w:hint="default"/>
      </w:rPr>
    </w:lvl>
  </w:abstractNum>
  <w:abstractNum w:abstractNumId="12" w15:restartNumberingAfterBreak="0">
    <w:nsid w:val="521E1FE3"/>
    <w:multiLevelType w:val="multilevel"/>
    <w:tmpl w:val="14CA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420BA"/>
    <w:multiLevelType w:val="multilevel"/>
    <w:tmpl w:val="82D2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95C82"/>
    <w:multiLevelType w:val="multilevel"/>
    <w:tmpl w:val="685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B3629"/>
    <w:multiLevelType w:val="multilevel"/>
    <w:tmpl w:val="E9A4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35A1B"/>
    <w:multiLevelType w:val="multilevel"/>
    <w:tmpl w:val="1622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90E7A"/>
    <w:multiLevelType w:val="hybridMultilevel"/>
    <w:tmpl w:val="0D50F1A6"/>
    <w:lvl w:ilvl="0" w:tplc="98903B70">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16C08"/>
    <w:multiLevelType w:val="multilevel"/>
    <w:tmpl w:val="7D3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BE6748"/>
    <w:multiLevelType w:val="multilevel"/>
    <w:tmpl w:val="0C7E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B5A0C"/>
    <w:multiLevelType w:val="hybridMultilevel"/>
    <w:tmpl w:val="8750783A"/>
    <w:lvl w:ilvl="0" w:tplc="D8B89756">
      <w:start w:val="1"/>
      <w:numFmt w:val="decimal"/>
      <w:lvlText w:val=".%1"/>
      <w:lvlJc w:val="left"/>
      <w:pPr>
        <w:ind w:left="1561" w:hanging="721"/>
      </w:pPr>
      <w:rPr>
        <w:rFonts w:ascii="Arial" w:eastAsia="Arial" w:hAnsi="Arial" w:cs="Arial" w:hint="default"/>
        <w:spacing w:val="-7"/>
        <w:w w:val="99"/>
        <w:sz w:val="24"/>
        <w:szCs w:val="24"/>
      </w:rPr>
    </w:lvl>
    <w:lvl w:ilvl="1" w:tplc="6C1A9020">
      <w:start w:val="1"/>
      <w:numFmt w:val="lowerLetter"/>
      <w:lvlText w:val="(%2)"/>
      <w:lvlJc w:val="left"/>
      <w:pPr>
        <w:ind w:left="2281" w:hanging="720"/>
      </w:pPr>
      <w:rPr>
        <w:rFonts w:ascii="Arial" w:eastAsia="Arial" w:hAnsi="Arial" w:cs="Arial" w:hint="default"/>
        <w:spacing w:val="-7"/>
        <w:w w:val="99"/>
        <w:sz w:val="24"/>
        <w:szCs w:val="24"/>
      </w:rPr>
    </w:lvl>
    <w:lvl w:ilvl="2" w:tplc="C93C7D46">
      <w:start w:val="1"/>
      <w:numFmt w:val="bullet"/>
      <w:lvlText w:val="•"/>
      <w:lvlJc w:val="left"/>
      <w:pPr>
        <w:ind w:left="3000" w:hanging="720"/>
      </w:pPr>
      <w:rPr>
        <w:rFonts w:hint="default"/>
      </w:rPr>
    </w:lvl>
    <w:lvl w:ilvl="3" w:tplc="7E4A5650">
      <w:start w:val="1"/>
      <w:numFmt w:val="bullet"/>
      <w:lvlText w:val="•"/>
      <w:lvlJc w:val="left"/>
      <w:pPr>
        <w:ind w:left="3721" w:hanging="720"/>
      </w:pPr>
      <w:rPr>
        <w:rFonts w:hint="default"/>
      </w:rPr>
    </w:lvl>
    <w:lvl w:ilvl="4" w:tplc="CEAAD318">
      <w:start w:val="1"/>
      <w:numFmt w:val="bullet"/>
      <w:lvlText w:val="•"/>
      <w:lvlJc w:val="left"/>
      <w:pPr>
        <w:ind w:left="4441" w:hanging="720"/>
      </w:pPr>
      <w:rPr>
        <w:rFonts w:hint="default"/>
      </w:rPr>
    </w:lvl>
    <w:lvl w:ilvl="5" w:tplc="E23E293E">
      <w:start w:val="1"/>
      <w:numFmt w:val="bullet"/>
      <w:lvlText w:val="•"/>
      <w:lvlJc w:val="left"/>
      <w:pPr>
        <w:ind w:left="5162" w:hanging="720"/>
      </w:pPr>
      <w:rPr>
        <w:rFonts w:hint="default"/>
      </w:rPr>
    </w:lvl>
    <w:lvl w:ilvl="6" w:tplc="B58676DE">
      <w:start w:val="1"/>
      <w:numFmt w:val="bullet"/>
      <w:lvlText w:val="•"/>
      <w:lvlJc w:val="left"/>
      <w:pPr>
        <w:ind w:left="5882" w:hanging="720"/>
      </w:pPr>
      <w:rPr>
        <w:rFonts w:hint="default"/>
      </w:rPr>
    </w:lvl>
    <w:lvl w:ilvl="7" w:tplc="B4C81526">
      <w:start w:val="1"/>
      <w:numFmt w:val="bullet"/>
      <w:lvlText w:val="•"/>
      <w:lvlJc w:val="left"/>
      <w:pPr>
        <w:ind w:left="6603" w:hanging="720"/>
      </w:pPr>
      <w:rPr>
        <w:rFonts w:hint="default"/>
      </w:rPr>
    </w:lvl>
    <w:lvl w:ilvl="8" w:tplc="D2269022">
      <w:start w:val="1"/>
      <w:numFmt w:val="bullet"/>
      <w:lvlText w:val="•"/>
      <w:lvlJc w:val="left"/>
      <w:pPr>
        <w:ind w:left="7323" w:hanging="720"/>
      </w:pPr>
      <w:rPr>
        <w:rFonts w:hint="default"/>
      </w:rPr>
    </w:lvl>
  </w:abstractNum>
  <w:abstractNum w:abstractNumId="21" w15:restartNumberingAfterBreak="0">
    <w:nsid w:val="78F929CE"/>
    <w:multiLevelType w:val="hybridMultilevel"/>
    <w:tmpl w:val="10804562"/>
    <w:lvl w:ilvl="0" w:tplc="3D5AFF20">
      <w:start w:val="1"/>
      <w:numFmt w:val="decimal"/>
      <w:lvlText w:val=".%1"/>
      <w:lvlJc w:val="left"/>
      <w:pPr>
        <w:ind w:left="1561" w:hanging="721"/>
      </w:pPr>
      <w:rPr>
        <w:rFonts w:ascii="Arial" w:eastAsia="Arial" w:hAnsi="Arial" w:cs="Arial" w:hint="default"/>
        <w:spacing w:val="-7"/>
        <w:w w:val="99"/>
        <w:sz w:val="24"/>
        <w:szCs w:val="24"/>
      </w:rPr>
    </w:lvl>
    <w:lvl w:ilvl="1" w:tplc="22BA9264">
      <w:start w:val="1"/>
      <w:numFmt w:val="lowerLetter"/>
      <w:lvlText w:val="(%2)"/>
      <w:lvlJc w:val="left"/>
      <w:pPr>
        <w:ind w:left="2281" w:hanging="720"/>
      </w:pPr>
      <w:rPr>
        <w:rFonts w:ascii="Arial" w:eastAsia="Arial" w:hAnsi="Arial" w:cs="Arial" w:hint="default"/>
        <w:spacing w:val="-6"/>
        <w:w w:val="99"/>
        <w:sz w:val="24"/>
        <w:szCs w:val="24"/>
      </w:rPr>
    </w:lvl>
    <w:lvl w:ilvl="2" w:tplc="74660566">
      <w:start w:val="1"/>
      <w:numFmt w:val="lowerRoman"/>
      <w:lvlText w:val="(%3)"/>
      <w:lvlJc w:val="left"/>
      <w:pPr>
        <w:ind w:left="3002" w:hanging="721"/>
      </w:pPr>
      <w:rPr>
        <w:rFonts w:ascii="Arial" w:eastAsia="Arial" w:hAnsi="Arial" w:cs="Arial" w:hint="default"/>
        <w:spacing w:val="-9"/>
        <w:w w:val="99"/>
        <w:sz w:val="24"/>
        <w:szCs w:val="24"/>
      </w:rPr>
    </w:lvl>
    <w:lvl w:ilvl="3" w:tplc="6322826C">
      <w:start w:val="1"/>
      <w:numFmt w:val="bullet"/>
      <w:lvlText w:val="-"/>
      <w:lvlJc w:val="left"/>
      <w:pPr>
        <w:ind w:left="3722" w:hanging="721"/>
      </w:pPr>
      <w:rPr>
        <w:rFonts w:ascii="Arial" w:eastAsia="Arial" w:hAnsi="Arial" w:cs="Arial" w:hint="default"/>
        <w:spacing w:val="-9"/>
        <w:w w:val="99"/>
        <w:sz w:val="24"/>
        <w:szCs w:val="24"/>
      </w:rPr>
    </w:lvl>
    <w:lvl w:ilvl="4" w:tplc="0C8EF2DE">
      <w:start w:val="1"/>
      <w:numFmt w:val="bullet"/>
      <w:lvlText w:val="•"/>
      <w:lvlJc w:val="left"/>
      <w:pPr>
        <w:ind w:left="4440" w:hanging="721"/>
      </w:pPr>
      <w:rPr>
        <w:rFonts w:hint="default"/>
      </w:rPr>
    </w:lvl>
    <w:lvl w:ilvl="5" w:tplc="E1EE13A0">
      <w:start w:val="1"/>
      <w:numFmt w:val="bullet"/>
      <w:lvlText w:val="•"/>
      <w:lvlJc w:val="left"/>
      <w:pPr>
        <w:ind w:left="5161" w:hanging="721"/>
      </w:pPr>
      <w:rPr>
        <w:rFonts w:hint="default"/>
      </w:rPr>
    </w:lvl>
    <w:lvl w:ilvl="6" w:tplc="1DB2904E">
      <w:start w:val="1"/>
      <w:numFmt w:val="bullet"/>
      <w:lvlText w:val="•"/>
      <w:lvlJc w:val="left"/>
      <w:pPr>
        <w:ind w:left="5882" w:hanging="721"/>
      </w:pPr>
      <w:rPr>
        <w:rFonts w:hint="default"/>
      </w:rPr>
    </w:lvl>
    <w:lvl w:ilvl="7" w:tplc="A31E3D8A">
      <w:start w:val="1"/>
      <w:numFmt w:val="bullet"/>
      <w:lvlText w:val="•"/>
      <w:lvlJc w:val="left"/>
      <w:pPr>
        <w:ind w:left="6602" w:hanging="721"/>
      </w:pPr>
      <w:rPr>
        <w:rFonts w:hint="default"/>
      </w:rPr>
    </w:lvl>
    <w:lvl w:ilvl="8" w:tplc="56B4B062">
      <w:start w:val="1"/>
      <w:numFmt w:val="bullet"/>
      <w:lvlText w:val="•"/>
      <w:lvlJc w:val="left"/>
      <w:pPr>
        <w:ind w:left="7323" w:hanging="721"/>
      </w:pPr>
      <w:rPr>
        <w:rFonts w:hint="default"/>
      </w:rPr>
    </w:lvl>
  </w:abstractNum>
  <w:abstractNum w:abstractNumId="22" w15:restartNumberingAfterBreak="0">
    <w:nsid w:val="7C9A6949"/>
    <w:multiLevelType w:val="hybridMultilevel"/>
    <w:tmpl w:val="8BF81D38"/>
    <w:lvl w:ilvl="0" w:tplc="8BEA364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CC27CD4"/>
    <w:multiLevelType w:val="hybridMultilevel"/>
    <w:tmpl w:val="69625B06"/>
    <w:lvl w:ilvl="0" w:tplc="7FC4188A">
      <w:start w:val="1"/>
      <w:numFmt w:val="decimal"/>
      <w:lvlText w:val=".%1"/>
      <w:lvlJc w:val="left"/>
      <w:pPr>
        <w:ind w:left="1561" w:hanging="721"/>
      </w:pPr>
      <w:rPr>
        <w:rFonts w:ascii="Arial" w:eastAsia="Arial" w:hAnsi="Arial" w:cs="Arial" w:hint="default"/>
        <w:spacing w:val="-11"/>
        <w:w w:val="99"/>
        <w:sz w:val="24"/>
        <w:szCs w:val="24"/>
      </w:rPr>
    </w:lvl>
    <w:lvl w:ilvl="1" w:tplc="CED663FA">
      <w:start w:val="1"/>
      <w:numFmt w:val="bullet"/>
      <w:lvlText w:val="•"/>
      <w:lvlJc w:val="left"/>
      <w:pPr>
        <w:ind w:left="2280" w:hanging="721"/>
      </w:pPr>
      <w:rPr>
        <w:rFonts w:hint="default"/>
      </w:rPr>
    </w:lvl>
    <w:lvl w:ilvl="2" w:tplc="D4E611A2">
      <w:start w:val="1"/>
      <w:numFmt w:val="bullet"/>
      <w:lvlText w:val="•"/>
      <w:lvlJc w:val="left"/>
      <w:pPr>
        <w:ind w:left="3001" w:hanging="721"/>
      </w:pPr>
      <w:rPr>
        <w:rFonts w:hint="default"/>
      </w:rPr>
    </w:lvl>
    <w:lvl w:ilvl="3" w:tplc="E86868B0">
      <w:start w:val="1"/>
      <w:numFmt w:val="bullet"/>
      <w:lvlText w:val="•"/>
      <w:lvlJc w:val="left"/>
      <w:pPr>
        <w:ind w:left="3721" w:hanging="721"/>
      </w:pPr>
      <w:rPr>
        <w:rFonts w:hint="default"/>
      </w:rPr>
    </w:lvl>
    <w:lvl w:ilvl="4" w:tplc="825EB58E">
      <w:start w:val="1"/>
      <w:numFmt w:val="bullet"/>
      <w:lvlText w:val="•"/>
      <w:lvlJc w:val="left"/>
      <w:pPr>
        <w:ind w:left="4442" w:hanging="721"/>
      </w:pPr>
      <w:rPr>
        <w:rFonts w:hint="default"/>
      </w:rPr>
    </w:lvl>
    <w:lvl w:ilvl="5" w:tplc="BED470A0">
      <w:start w:val="1"/>
      <w:numFmt w:val="bullet"/>
      <w:lvlText w:val="•"/>
      <w:lvlJc w:val="left"/>
      <w:pPr>
        <w:ind w:left="5162" w:hanging="721"/>
      </w:pPr>
      <w:rPr>
        <w:rFonts w:hint="default"/>
      </w:rPr>
    </w:lvl>
    <w:lvl w:ilvl="6" w:tplc="3304A2D4">
      <w:start w:val="1"/>
      <w:numFmt w:val="bullet"/>
      <w:lvlText w:val="•"/>
      <w:lvlJc w:val="left"/>
      <w:pPr>
        <w:ind w:left="5883" w:hanging="721"/>
      </w:pPr>
      <w:rPr>
        <w:rFonts w:hint="default"/>
      </w:rPr>
    </w:lvl>
    <w:lvl w:ilvl="7" w:tplc="23B8D296">
      <w:start w:val="1"/>
      <w:numFmt w:val="bullet"/>
      <w:lvlText w:val="•"/>
      <w:lvlJc w:val="left"/>
      <w:pPr>
        <w:ind w:left="6603" w:hanging="721"/>
      </w:pPr>
      <w:rPr>
        <w:rFonts w:hint="default"/>
      </w:rPr>
    </w:lvl>
    <w:lvl w:ilvl="8" w:tplc="81FC18E8">
      <w:start w:val="1"/>
      <w:numFmt w:val="bullet"/>
      <w:lvlText w:val="•"/>
      <w:lvlJc w:val="left"/>
      <w:pPr>
        <w:ind w:left="7324" w:hanging="721"/>
      </w:pPr>
      <w:rPr>
        <w:rFonts w:hint="default"/>
      </w:rPr>
    </w:lvl>
  </w:abstractNum>
  <w:num w:numId="1" w16cid:durableId="663434165">
    <w:abstractNumId w:val="15"/>
  </w:num>
  <w:num w:numId="2" w16cid:durableId="634992873">
    <w:abstractNumId w:val="13"/>
  </w:num>
  <w:num w:numId="3" w16cid:durableId="1441490332">
    <w:abstractNumId w:val="0"/>
  </w:num>
  <w:num w:numId="4" w16cid:durableId="1815289792">
    <w:abstractNumId w:val="16"/>
  </w:num>
  <w:num w:numId="5" w16cid:durableId="1399673099">
    <w:abstractNumId w:val="12"/>
  </w:num>
  <w:num w:numId="6" w16cid:durableId="95176638">
    <w:abstractNumId w:val="14"/>
  </w:num>
  <w:num w:numId="7" w16cid:durableId="1704398330">
    <w:abstractNumId w:val="8"/>
  </w:num>
  <w:num w:numId="8" w16cid:durableId="60489866">
    <w:abstractNumId w:val="19"/>
  </w:num>
  <w:num w:numId="9" w16cid:durableId="1710184673">
    <w:abstractNumId w:val="18"/>
  </w:num>
  <w:num w:numId="10" w16cid:durableId="2048986750">
    <w:abstractNumId w:val="2"/>
  </w:num>
  <w:num w:numId="11" w16cid:durableId="433207006">
    <w:abstractNumId w:val="6"/>
  </w:num>
  <w:num w:numId="12" w16cid:durableId="113331708">
    <w:abstractNumId w:val="1"/>
  </w:num>
  <w:num w:numId="13" w16cid:durableId="845705571">
    <w:abstractNumId w:val="11"/>
  </w:num>
  <w:num w:numId="14" w16cid:durableId="33626132">
    <w:abstractNumId w:val="21"/>
  </w:num>
  <w:num w:numId="15" w16cid:durableId="405689533">
    <w:abstractNumId w:val="7"/>
  </w:num>
  <w:num w:numId="16" w16cid:durableId="1533491893">
    <w:abstractNumId w:val="23"/>
  </w:num>
  <w:num w:numId="17" w16cid:durableId="1418332970">
    <w:abstractNumId w:val="20"/>
  </w:num>
  <w:num w:numId="18" w16cid:durableId="1330715390">
    <w:abstractNumId w:val="5"/>
  </w:num>
  <w:num w:numId="19" w16cid:durableId="581066645">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1110969686">
    <w:abstractNumId w:val="4"/>
  </w:num>
  <w:num w:numId="21" w16cid:durableId="1507013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2579602">
    <w:abstractNumId w:val="3"/>
  </w:num>
  <w:num w:numId="23" w16cid:durableId="36703668">
    <w:abstractNumId w:val="9"/>
  </w:num>
  <w:num w:numId="24" w16cid:durableId="1679960798">
    <w:abstractNumId w:val="10"/>
  </w:num>
  <w:num w:numId="25" w16cid:durableId="1766150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11"/>
    <w:rsid w:val="000A123C"/>
    <w:rsid w:val="000B3420"/>
    <w:rsid w:val="00104F9C"/>
    <w:rsid w:val="00106340"/>
    <w:rsid w:val="00127FFA"/>
    <w:rsid w:val="00153F1B"/>
    <w:rsid w:val="00231524"/>
    <w:rsid w:val="00332911"/>
    <w:rsid w:val="00351E10"/>
    <w:rsid w:val="00373E10"/>
    <w:rsid w:val="003A103D"/>
    <w:rsid w:val="003D0159"/>
    <w:rsid w:val="004B210C"/>
    <w:rsid w:val="004E26E1"/>
    <w:rsid w:val="00561BD8"/>
    <w:rsid w:val="005A53DB"/>
    <w:rsid w:val="0060401F"/>
    <w:rsid w:val="0067707A"/>
    <w:rsid w:val="006A12C5"/>
    <w:rsid w:val="007250CF"/>
    <w:rsid w:val="00755719"/>
    <w:rsid w:val="00761D1C"/>
    <w:rsid w:val="00771166"/>
    <w:rsid w:val="007D0317"/>
    <w:rsid w:val="007D3D15"/>
    <w:rsid w:val="007D43A6"/>
    <w:rsid w:val="00850911"/>
    <w:rsid w:val="008515AC"/>
    <w:rsid w:val="00857C15"/>
    <w:rsid w:val="00894C42"/>
    <w:rsid w:val="008C5D7E"/>
    <w:rsid w:val="008D37E8"/>
    <w:rsid w:val="008F4F9D"/>
    <w:rsid w:val="00923CB5"/>
    <w:rsid w:val="00932EB4"/>
    <w:rsid w:val="00987AA4"/>
    <w:rsid w:val="009943C1"/>
    <w:rsid w:val="009A0D42"/>
    <w:rsid w:val="009E7339"/>
    <w:rsid w:val="009F1C49"/>
    <w:rsid w:val="00A6502A"/>
    <w:rsid w:val="00A91069"/>
    <w:rsid w:val="00AC3C88"/>
    <w:rsid w:val="00BD38E7"/>
    <w:rsid w:val="00BD3DFF"/>
    <w:rsid w:val="00BF4155"/>
    <w:rsid w:val="00C14449"/>
    <w:rsid w:val="00C15614"/>
    <w:rsid w:val="00CE1724"/>
    <w:rsid w:val="00D606FA"/>
    <w:rsid w:val="00D60DF2"/>
    <w:rsid w:val="00E42DA1"/>
    <w:rsid w:val="00F91026"/>
    <w:rsid w:val="00FA3641"/>
    <w:rsid w:val="00FB3B6E"/>
    <w:rsid w:val="00FD19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C00C"/>
  <w15:chartTrackingRefBased/>
  <w15:docId w15:val="{17786889-6C06-4828-AC67-1FA23DE3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11"/>
    <w:rPr>
      <w:rFonts w:eastAsiaTheme="majorEastAsia" w:cstheme="majorBidi"/>
      <w:color w:val="272727" w:themeColor="text1" w:themeTint="D8"/>
    </w:rPr>
  </w:style>
  <w:style w:type="paragraph" w:styleId="Title">
    <w:name w:val="Title"/>
    <w:basedOn w:val="Normal"/>
    <w:next w:val="Normal"/>
    <w:link w:val="TitleChar"/>
    <w:uiPriority w:val="10"/>
    <w:qFormat/>
    <w:rsid w:val="0085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11"/>
    <w:pPr>
      <w:spacing w:before="160"/>
      <w:jc w:val="center"/>
    </w:pPr>
    <w:rPr>
      <w:i/>
      <w:iCs/>
      <w:color w:val="404040" w:themeColor="text1" w:themeTint="BF"/>
    </w:rPr>
  </w:style>
  <w:style w:type="character" w:customStyle="1" w:styleId="QuoteChar">
    <w:name w:val="Quote Char"/>
    <w:basedOn w:val="DefaultParagraphFont"/>
    <w:link w:val="Quote"/>
    <w:uiPriority w:val="29"/>
    <w:rsid w:val="00850911"/>
    <w:rPr>
      <w:i/>
      <w:iCs/>
      <w:color w:val="404040" w:themeColor="text1" w:themeTint="BF"/>
    </w:rPr>
  </w:style>
  <w:style w:type="paragraph" w:styleId="ListParagraph">
    <w:name w:val="List Paragraph"/>
    <w:basedOn w:val="Normal"/>
    <w:uiPriority w:val="34"/>
    <w:qFormat/>
    <w:rsid w:val="00850911"/>
    <w:pPr>
      <w:ind w:left="720"/>
      <w:contextualSpacing/>
    </w:pPr>
  </w:style>
  <w:style w:type="character" w:styleId="IntenseEmphasis">
    <w:name w:val="Intense Emphasis"/>
    <w:basedOn w:val="DefaultParagraphFont"/>
    <w:uiPriority w:val="21"/>
    <w:qFormat/>
    <w:rsid w:val="00850911"/>
    <w:rPr>
      <w:i/>
      <w:iCs/>
      <w:color w:val="0F4761" w:themeColor="accent1" w:themeShade="BF"/>
    </w:rPr>
  </w:style>
  <w:style w:type="paragraph" w:styleId="IntenseQuote">
    <w:name w:val="Intense Quote"/>
    <w:basedOn w:val="Normal"/>
    <w:next w:val="Normal"/>
    <w:link w:val="IntenseQuoteChar"/>
    <w:uiPriority w:val="30"/>
    <w:qFormat/>
    <w:rsid w:val="0085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911"/>
    <w:rPr>
      <w:i/>
      <w:iCs/>
      <w:color w:val="0F4761" w:themeColor="accent1" w:themeShade="BF"/>
    </w:rPr>
  </w:style>
  <w:style w:type="character" w:styleId="IntenseReference">
    <w:name w:val="Intense Reference"/>
    <w:basedOn w:val="DefaultParagraphFont"/>
    <w:uiPriority w:val="32"/>
    <w:qFormat/>
    <w:rsid w:val="00850911"/>
    <w:rPr>
      <w:b/>
      <w:bCs/>
      <w:smallCaps/>
      <w:color w:val="0F4761" w:themeColor="accent1" w:themeShade="BF"/>
      <w:spacing w:val="5"/>
    </w:rPr>
  </w:style>
  <w:style w:type="paragraph" w:styleId="Header">
    <w:name w:val="header"/>
    <w:basedOn w:val="Normal"/>
    <w:link w:val="HeaderChar"/>
    <w:uiPriority w:val="99"/>
    <w:unhideWhenUsed/>
    <w:rsid w:val="00C15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614"/>
  </w:style>
  <w:style w:type="paragraph" w:styleId="Footer">
    <w:name w:val="footer"/>
    <w:basedOn w:val="Normal"/>
    <w:link w:val="FooterChar"/>
    <w:uiPriority w:val="99"/>
    <w:unhideWhenUsed/>
    <w:rsid w:val="00C15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614"/>
  </w:style>
  <w:style w:type="table" w:styleId="TableGrid">
    <w:name w:val="Table Grid"/>
    <w:basedOn w:val="TableNormal"/>
    <w:uiPriority w:val="39"/>
    <w:rsid w:val="00A6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527">
      <w:bodyDiv w:val="1"/>
      <w:marLeft w:val="0"/>
      <w:marRight w:val="0"/>
      <w:marTop w:val="0"/>
      <w:marBottom w:val="0"/>
      <w:divBdr>
        <w:top w:val="none" w:sz="0" w:space="0" w:color="auto"/>
        <w:left w:val="none" w:sz="0" w:space="0" w:color="auto"/>
        <w:bottom w:val="none" w:sz="0" w:space="0" w:color="auto"/>
        <w:right w:val="none" w:sz="0" w:space="0" w:color="auto"/>
      </w:divBdr>
    </w:div>
    <w:div w:id="154683545">
      <w:bodyDiv w:val="1"/>
      <w:marLeft w:val="0"/>
      <w:marRight w:val="0"/>
      <w:marTop w:val="0"/>
      <w:marBottom w:val="0"/>
      <w:divBdr>
        <w:top w:val="none" w:sz="0" w:space="0" w:color="auto"/>
        <w:left w:val="none" w:sz="0" w:space="0" w:color="auto"/>
        <w:bottom w:val="none" w:sz="0" w:space="0" w:color="auto"/>
        <w:right w:val="none" w:sz="0" w:space="0" w:color="auto"/>
      </w:divBdr>
    </w:div>
    <w:div w:id="549339480">
      <w:bodyDiv w:val="1"/>
      <w:marLeft w:val="0"/>
      <w:marRight w:val="0"/>
      <w:marTop w:val="0"/>
      <w:marBottom w:val="0"/>
      <w:divBdr>
        <w:top w:val="none" w:sz="0" w:space="0" w:color="auto"/>
        <w:left w:val="none" w:sz="0" w:space="0" w:color="auto"/>
        <w:bottom w:val="none" w:sz="0" w:space="0" w:color="auto"/>
        <w:right w:val="none" w:sz="0" w:space="0" w:color="auto"/>
      </w:divBdr>
    </w:div>
    <w:div w:id="644505721">
      <w:bodyDiv w:val="1"/>
      <w:marLeft w:val="0"/>
      <w:marRight w:val="0"/>
      <w:marTop w:val="0"/>
      <w:marBottom w:val="0"/>
      <w:divBdr>
        <w:top w:val="none" w:sz="0" w:space="0" w:color="auto"/>
        <w:left w:val="none" w:sz="0" w:space="0" w:color="auto"/>
        <w:bottom w:val="none" w:sz="0" w:space="0" w:color="auto"/>
        <w:right w:val="none" w:sz="0" w:space="0" w:color="auto"/>
      </w:divBdr>
    </w:div>
    <w:div w:id="1167751002">
      <w:bodyDiv w:val="1"/>
      <w:marLeft w:val="0"/>
      <w:marRight w:val="0"/>
      <w:marTop w:val="0"/>
      <w:marBottom w:val="0"/>
      <w:divBdr>
        <w:top w:val="none" w:sz="0" w:space="0" w:color="auto"/>
        <w:left w:val="none" w:sz="0" w:space="0" w:color="auto"/>
        <w:bottom w:val="none" w:sz="0" w:space="0" w:color="auto"/>
        <w:right w:val="none" w:sz="0" w:space="0" w:color="auto"/>
      </w:divBdr>
    </w:div>
    <w:div w:id="1302998513">
      <w:bodyDiv w:val="1"/>
      <w:marLeft w:val="0"/>
      <w:marRight w:val="0"/>
      <w:marTop w:val="0"/>
      <w:marBottom w:val="0"/>
      <w:divBdr>
        <w:top w:val="none" w:sz="0" w:space="0" w:color="auto"/>
        <w:left w:val="none" w:sz="0" w:space="0" w:color="auto"/>
        <w:bottom w:val="none" w:sz="0" w:space="0" w:color="auto"/>
        <w:right w:val="none" w:sz="0" w:space="0" w:color="auto"/>
      </w:divBdr>
    </w:div>
    <w:div w:id="1388338230">
      <w:bodyDiv w:val="1"/>
      <w:marLeft w:val="0"/>
      <w:marRight w:val="0"/>
      <w:marTop w:val="0"/>
      <w:marBottom w:val="0"/>
      <w:divBdr>
        <w:top w:val="none" w:sz="0" w:space="0" w:color="auto"/>
        <w:left w:val="none" w:sz="0" w:space="0" w:color="auto"/>
        <w:bottom w:val="none" w:sz="0" w:space="0" w:color="auto"/>
        <w:right w:val="none" w:sz="0" w:space="0" w:color="auto"/>
      </w:divBdr>
    </w:div>
    <w:div w:id="19864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f1d573-e0cb-43a3-995f-2466c6db7b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21A58D30472F4AAE96E007815FB36C" ma:contentTypeVersion="17" ma:contentTypeDescription="Create a new document." ma:contentTypeScope="" ma:versionID="723e624ce7df4fa4066b456a399d3692">
  <xsd:schema xmlns:xsd="http://www.w3.org/2001/XMLSchema" xmlns:xs="http://www.w3.org/2001/XMLSchema" xmlns:p="http://schemas.microsoft.com/office/2006/metadata/properties" xmlns:ns2="6ef1d573-e0cb-43a3-995f-2466c6db7b79" xmlns:ns3="de8ba34b-096a-4c10-bdf0-62b62f821dfd" targetNamespace="http://schemas.microsoft.com/office/2006/metadata/properties" ma:root="true" ma:fieldsID="187d08b6cf68db67075da4759af22119" ns2:_="" ns3:_="">
    <xsd:import namespace="6ef1d573-e0cb-43a3-995f-2466c6db7b79"/>
    <xsd:import namespace="de8ba34b-096a-4c10-bdf0-62b62f821d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1d573-e0cb-43a3-995f-2466c6db7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1092cb-74e7-4a22-8ea4-3ffff0325e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ba34b-096a-4c10-bdf0-62b62f821d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5E172-DC3F-40B3-A2B2-CF0BD8288D81}">
  <ds:schemaRefs>
    <ds:schemaRef ds:uri="http://schemas.microsoft.com/office/2006/metadata/properties"/>
    <ds:schemaRef ds:uri="http://schemas.microsoft.com/office/infopath/2007/PartnerControls"/>
    <ds:schemaRef ds:uri="6ef1d573-e0cb-43a3-995f-2466c6db7b79"/>
  </ds:schemaRefs>
</ds:datastoreItem>
</file>

<file path=customXml/itemProps2.xml><?xml version="1.0" encoding="utf-8"?>
<ds:datastoreItem xmlns:ds="http://schemas.openxmlformats.org/officeDocument/2006/customXml" ds:itemID="{1CFBDF09-AB6F-42C7-A841-D196577A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1d573-e0cb-43a3-995f-2466c6db7b79"/>
    <ds:schemaRef ds:uri="de8ba34b-096a-4c10-bdf0-62b62f821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1DE99-D06D-4CA2-AAE7-C2C3A8509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Parker</dc:creator>
  <cp:keywords/>
  <dc:description/>
  <cp:lastModifiedBy>Tace Jones</cp:lastModifiedBy>
  <cp:revision>12</cp:revision>
  <dcterms:created xsi:type="dcterms:W3CDTF">2025-09-02T13:24:00Z</dcterms:created>
  <dcterms:modified xsi:type="dcterms:W3CDTF">2025-09-24T12:54:00Z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4e17b-d8d0-4731-945f-6a05a4cc5c34_Enabled">
    <vt:lpwstr>true</vt:lpwstr>
  </property>
  <property fmtid="{D5CDD505-2E9C-101B-9397-08002B2CF9AE}" pid="3" name="MSIP_Label_4074e17b-d8d0-4731-945f-6a05a4cc5c34_SetDate">
    <vt:lpwstr>2025-05-29T08:58:54Z</vt:lpwstr>
  </property>
  <property fmtid="{D5CDD505-2E9C-101B-9397-08002B2CF9AE}" pid="4" name="MSIP_Label_4074e17b-d8d0-4731-945f-6a05a4cc5c34_Method">
    <vt:lpwstr>Standard</vt:lpwstr>
  </property>
  <property fmtid="{D5CDD505-2E9C-101B-9397-08002B2CF9AE}" pid="5" name="MSIP_Label_4074e17b-d8d0-4731-945f-6a05a4cc5c34_Name">
    <vt:lpwstr>4074e17b-d8d0-4731-945f-6a05a4cc5c34</vt:lpwstr>
  </property>
  <property fmtid="{D5CDD505-2E9C-101B-9397-08002B2CF9AE}" pid="6" name="MSIP_Label_4074e17b-d8d0-4731-945f-6a05a4cc5c34_SiteId">
    <vt:lpwstr>a8272d25-1020-438a-a5d0-a38cd3ff38b0</vt:lpwstr>
  </property>
  <property fmtid="{D5CDD505-2E9C-101B-9397-08002B2CF9AE}" pid="7" name="MSIP_Label_4074e17b-d8d0-4731-945f-6a05a4cc5c34_ActionId">
    <vt:lpwstr>530f4cb2-9856-4b9a-aeca-54cef7b0eff7</vt:lpwstr>
  </property>
  <property fmtid="{D5CDD505-2E9C-101B-9397-08002B2CF9AE}" pid="8" name="MSIP_Label_4074e17b-d8d0-4731-945f-6a05a4cc5c34_ContentBits">
    <vt:lpwstr>0</vt:lpwstr>
  </property>
  <property fmtid="{D5CDD505-2E9C-101B-9397-08002B2CF9AE}" pid="9" name="MSIP_Label_4074e17b-d8d0-4731-945f-6a05a4cc5c34_Tag">
    <vt:lpwstr>10, 3, 0, 1</vt:lpwstr>
  </property>
  <property fmtid="{D5CDD505-2E9C-101B-9397-08002B2CF9AE}" pid="10" name="ContentTypeId">
    <vt:lpwstr>0x0101005521A58D30472F4AAE96E007815FB36C</vt:lpwstr>
  </property>
  <property fmtid="{D5CDD505-2E9C-101B-9397-08002B2CF9AE}" pid="11" name="MediaServiceImageTags">
    <vt:lpwstr/>
  </property>
</Properties>
</file>